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CC" w:rsidRPr="00355E8F" w:rsidRDefault="002176D5" w:rsidP="00355E8F">
      <w:pPr>
        <w:pStyle w:val="Nadpis2"/>
        <w:spacing w:line="276" w:lineRule="auto"/>
        <w:jc w:val="center"/>
        <w:rPr>
          <w:rFonts w:ascii="Times New Roman" w:hAnsi="Times New Roman" w:hint="default"/>
          <w:sz w:val="32"/>
          <w:szCs w:val="32"/>
          <w:lang w:val="cs-CZ"/>
        </w:rPr>
      </w:pPr>
      <w:r w:rsidRPr="00355E8F">
        <w:rPr>
          <w:rFonts w:ascii="Times New Roman" w:hAnsi="Times New Roman" w:hint="default"/>
          <w:sz w:val="32"/>
          <w:szCs w:val="32"/>
          <w:lang w:val="cs-CZ"/>
        </w:rPr>
        <w:t>Tematické</w:t>
      </w:r>
      <w:r w:rsidR="00FB0DFA" w:rsidRPr="00355E8F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355E8F">
        <w:rPr>
          <w:rFonts w:ascii="Times New Roman" w:hAnsi="Times New Roman" w:hint="default"/>
          <w:sz w:val="32"/>
          <w:szCs w:val="32"/>
          <w:lang w:val="cs-CZ"/>
        </w:rPr>
        <w:t>okruhy</w:t>
      </w:r>
      <w:r w:rsidR="00FB0DFA" w:rsidRPr="00355E8F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355E8F">
        <w:rPr>
          <w:rFonts w:ascii="Times New Roman" w:hAnsi="Times New Roman" w:hint="default"/>
          <w:sz w:val="32"/>
          <w:szCs w:val="32"/>
          <w:lang w:val="cs-CZ"/>
        </w:rPr>
        <w:t>diplomových</w:t>
      </w:r>
      <w:r w:rsidR="00FB0DFA" w:rsidRPr="00355E8F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355E8F">
        <w:rPr>
          <w:rFonts w:ascii="Times New Roman" w:hAnsi="Times New Roman" w:hint="default"/>
          <w:sz w:val="32"/>
          <w:szCs w:val="32"/>
          <w:lang w:val="cs-CZ"/>
        </w:rPr>
        <w:t>prací</w:t>
      </w:r>
      <w:r w:rsidR="00355E8F" w:rsidRPr="00355E8F">
        <w:rPr>
          <w:rFonts w:ascii="Times New Roman" w:hAnsi="Times New Roman" w:hint="default"/>
          <w:sz w:val="32"/>
          <w:szCs w:val="32"/>
          <w:lang w:val="cs-CZ"/>
        </w:rPr>
        <w:t xml:space="preserve"> na rok 2019/2020</w:t>
      </w:r>
      <w:r w:rsidR="00FB0DFA" w:rsidRPr="00355E8F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355E8F">
        <w:rPr>
          <w:rFonts w:ascii="Times New Roman" w:hAnsi="Times New Roman" w:hint="default"/>
          <w:sz w:val="32"/>
          <w:szCs w:val="32"/>
          <w:lang w:val="cs-CZ"/>
        </w:rPr>
        <w:t>Sociální</w:t>
      </w:r>
      <w:r w:rsidR="00FB0DFA" w:rsidRPr="00355E8F">
        <w:rPr>
          <w:rFonts w:ascii="Times New Roman" w:hAnsi="Times New Roman" w:hint="default"/>
          <w:sz w:val="32"/>
          <w:szCs w:val="32"/>
          <w:lang w:val="cs-CZ"/>
        </w:rPr>
        <w:t xml:space="preserve"> </w:t>
      </w:r>
      <w:r w:rsidRPr="00355E8F">
        <w:rPr>
          <w:rFonts w:ascii="Times New Roman" w:hAnsi="Times New Roman" w:hint="default"/>
          <w:sz w:val="32"/>
          <w:szCs w:val="32"/>
          <w:lang w:val="cs-CZ"/>
        </w:rPr>
        <w:t>pedagogika (KF,PF)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Tematické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okru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hy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diplomových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prací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="00FC1F47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na</w:t>
      </w:r>
      <w:r w:rsidR="00355E8F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rok 2019/2020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u w:val="single"/>
          <w:lang w:val="cs-CZ"/>
        </w:rPr>
        <w:t>pedagogika (KF,PF)</w:t>
      </w:r>
    </w:p>
    <w:p w:rsidR="00500FCC" w:rsidRPr="001535AC" w:rsidRDefault="002176D5" w:rsidP="00355E8F">
      <w:pPr>
        <w:pStyle w:val="Normlnweb"/>
        <w:spacing w:beforeAutospacing="1" w:after="0" w:afterAutospacing="1"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Tematické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okruhy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diplomový</w:t>
      </w:r>
      <w:r w:rsidR="00667C2F" w:rsidRPr="001535AC">
        <w:rPr>
          <w:rFonts w:ascii="Times New Roman" w:hAnsi="Times New Roman" w:cs="Times New Roman"/>
          <w:sz w:val="22"/>
          <w:szCs w:val="22"/>
          <w:lang w:val="cs-CZ"/>
        </w:rPr>
        <w:t>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667C2F" w:rsidRPr="001535AC">
        <w:rPr>
          <w:rFonts w:ascii="Times New Roman" w:hAnsi="Times New Roman" w:cs="Times New Roman"/>
          <w:sz w:val="22"/>
          <w:szCs w:val="22"/>
          <w:lang w:val="cs-CZ"/>
        </w:rPr>
        <w:t>prací pro akademický</w:t>
      </w:r>
      <w:r w:rsidR="00355E8F">
        <w:rPr>
          <w:rFonts w:ascii="Times New Roman" w:hAnsi="Times New Roman" w:cs="Times New Roman"/>
          <w:sz w:val="22"/>
          <w:szCs w:val="22"/>
          <w:lang w:val="cs-CZ"/>
        </w:rPr>
        <w:t xml:space="preserve"> rok 2019/2020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pro obor</w:t>
      </w:r>
      <w:r w:rsidR="00D158A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t>S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pedagogika (prezenční a k</w:t>
      </w:r>
      <w:r w:rsidR="00D158A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ombinovaná forma studia). Jedná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se o širší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okruhy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témat. Konkrétní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název a přesné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zadání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práce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budou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specifikovány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společně se zájemcem o danou oblast na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první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individuální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konzultaci. Studenti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mají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rovněž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možnost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volby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vlastního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tématu, které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prokonzultují se svým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vedoucím.</w:t>
      </w:r>
    </w:p>
    <w:p w:rsidR="00500FCC" w:rsidRPr="001535AC" w:rsidRDefault="00500FCC" w:rsidP="001535AC">
      <w:pPr>
        <w:tabs>
          <w:tab w:val="left" w:pos="720"/>
        </w:tabs>
        <w:spacing w:beforeAutospacing="1" w:after="0" w:afterAutospacing="1" w:line="276" w:lineRule="auto"/>
        <w:ind w:left="720"/>
        <w:rPr>
          <w:rFonts w:ascii="Times New Roman" w:hAnsi="Times New Roman" w:cs="Times New Roman"/>
          <w:sz w:val="22"/>
          <w:szCs w:val="22"/>
          <w:lang w:val="cs-CZ"/>
        </w:rPr>
      </w:pP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Zlatica</w:t>
      </w:r>
      <w:r w:rsidR="008E6FB1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Bakošová, CSc.</w:t>
      </w:r>
    </w:p>
    <w:p w:rsidR="00500FCC" w:rsidRPr="001535AC" w:rsidRDefault="00FC1F47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školství.</w:t>
      </w:r>
    </w:p>
    <w:p w:rsidR="00500FCC" w:rsidRPr="001535AC" w:rsidRDefault="00FC1F47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práce a sociálních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věcí a rodiny.</w:t>
      </w:r>
    </w:p>
    <w:p w:rsidR="00FB0DFA" w:rsidRPr="001535AC" w:rsidRDefault="002176D5" w:rsidP="001535AC">
      <w:pPr>
        <w:numPr>
          <w:ilvl w:val="0"/>
          <w:numId w:val="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uplatnění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jeho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profesních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kompetencí v rezortu</w:t>
      </w:r>
      <w:r w:rsidR="00FB0DFA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zdravotnictví.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doc. PhDr. Mgr. Jaroslav Balvín, CSc.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pedagogika ve vztahu k humanisticko-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personologickým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teoriím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multikulturní výchova.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jako hraniční věda mezi pedagogikou a sociologií.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ve vztahu k sociologii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filozofie výchovy.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etický rozměr.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v systému příbuzných vědních disciplín.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Filozoficko-etický rozměr sociální pedagogiky jako životní pomoci.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podíl na emancipační výchově člověka.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pedagog jako vychovatelská osobnost.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pedagogika a její podíl na utváření osobnosti.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Osobnosti sociálních pedagogů: Přemysl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Pitter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Miroslav Dědič, A. S.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Makarenko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Heinrich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Pestalozzi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a další.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Filozofie výchovy a její představitelé: Radim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Palouš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, Jan Patočka, Jaroslava Pešková, Platón a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Sókratés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Srovnání mezi českou a slovenskou současnou scénou sociální pedagogiky s ohledem na sociální pedagogiku polskou. </w:t>
      </w:r>
    </w:p>
    <w:p w:rsidR="00FB0DFA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Osobnost sociálního pedagoga Janusze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Korczaka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v pedagogice, v literatuře a ve filmu.</w:t>
      </w:r>
    </w:p>
    <w:p w:rsidR="001535AC" w:rsidRPr="001535AC" w:rsidRDefault="00FB0DFA" w:rsidP="001535AC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Srovnání významu českých a zahraničních sociálních pedagogů v minulosti 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br/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i v současnosti. </w:t>
      </w:r>
    </w:p>
    <w:p w:rsidR="007B0D15" w:rsidRDefault="007B0D15" w:rsidP="001535AC">
      <w:pPr>
        <w:pStyle w:val="Normlnweb"/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355E8F" w:rsidRDefault="00355E8F" w:rsidP="001535AC">
      <w:pPr>
        <w:pStyle w:val="Normlnweb"/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355E8F" w:rsidRPr="001535AC" w:rsidRDefault="00355E8F" w:rsidP="001535AC">
      <w:pPr>
        <w:pStyle w:val="Normlnweb"/>
        <w:spacing w:line="276" w:lineRule="auto"/>
        <w:rPr>
          <w:rFonts w:ascii="Times New Roman" w:hAnsi="Times New Roman" w:cs="Times New Roman"/>
          <w:sz w:val="22"/>
          <w:szCs w:val="22"/>
          <w:lang w:val="cs-CZ"/>
        </w:rPr>
      </w:pP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lastRenderedPageBreak/>
        <w:t>doc. PhDr. Lenka</w:t>
      </w:r>
      <w:r w:rsidR="007C1CE3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Haburajová</w:t>
      </w:r>
      <w:r w:rsidR="007C1CE3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Ilavská, PhD.</w:t>
      </w:r>
    </w:p>
    <w:p w:rsidR="00FB0DFA" w:rsidRPr="001535AC" w:rsidRDefault="00FB0DFA" w:rsidP="001535AC">
      <w:pPr>
        <w:numPr>
          <w:ilvl w:val="0"/>
          <w:numId w:val="4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Odkaz T.</w:t>
      </w:r>
      <w:r w:rsidR="00355E8F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G. Masaryka pro společenské vědy.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Mezigenerační soužití rodin.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Sociálně-pedagogická pomoc romské rodině.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Sociálně-pedagogická pomoc sociálně 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odkázaným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rodinám.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Problém neza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městnanosti a </w:t>
      </w:r>
      <w:proofErr w:type="spellStart"/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nezaměstnatelnosti</w:t>
      </w:r>
      <w:proofErr w:type="spellEnd"/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Komunitní plánovaní v oblasti sociálních služ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eb.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Standardy kvality v sociálních službách a jejich hodnocení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 v praxi.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Supervize jako nástroj na zkvalitnění výkonu profese. 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Fenomén chudoby v r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eflexi času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 služby pro občany nově ohrožené sociální exkluzí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FB0DFA" w:rsidRPr="001535AC" w:rsidRDefault="00FB0DFA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Kompar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ace sociálních služeb </w:t>
      </w: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ČR s </w:t>
      </w:r>
      <w:r w:rsidR="007A58D9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jiným zahraničním modelem.</w:t>
      </w:r>
    </w:p>
    <w:p w:rsidR="00FB0DFA" w:rsidRPr="001535AC" w:rsidRDefault="007A58D9" w:rsidP="001535AC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Sociální pomoc – její vývoj a perspektivy</w:t>
      </w:r>
      <w:r w:rsidR="00FB0DFA"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Jakub Hladík, Ph.D.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</w:t>
      </w:r>
      <w:r w:rsidR="001535AC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ZŠ a SŠ – 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RVP a ŠVP, způsoby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realizace, metody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Realizace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 v zahraničí.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Příprava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romských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dětí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zahájení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školní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docházky.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pregraduální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přípravě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VŠ.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Rozvoj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kompetence.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Modely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kompetence.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Kulturně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pluralitní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prostředí a jeho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klima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školy.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Sociálně a kulturně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znevýhodněný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žák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 ZŠ a SŠ.</w:t>
      </w:r>
    </w:p>
    <w:p w:rsidR="00500FCC" w:rsidRPr="001535AC" w:rsidRDefault="00D158AA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Interkulturní učení. </w:t>
      </w:r>
    </w:p>
    <w:p w:rsidR="00500FCC" w:rsidRPr="001535AC" w:rsidRDefault="002176D5" w:rsidP="001535AC">
      <w:pPr>
        <w:numPr>
          <w:ilvl w:val="0"/>
          <w:numId w:val="5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Multikulturní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jako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celoživotní</w:t>
      </w:r>
      <w:r w:rsidR="007A58D9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vzdělávání.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 Mgr. Karla Hrbáčková, Ph.D.</w:t>
      </w:r>
    </w:p>
    <w:p w:rsidR="00A90A53" w:rsidRDefault="00A90A53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Autoregulace chování sociálně vyloučených žáků.</w:t>
      </w:r>
    </w:p>
    <w:p w:rsidR="00355E8F" w:rsidRDefault="00355E8F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Autoregulační klima ve školním prostředí.</w:t>
      </w:r>
    </w:p>
    <w:p w:rsidR="00355E8F" w:rsidRDefault="00355E8F" w:rsidP="001535A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Regulace emocí dětí a dospívajících v institucionální péči.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Rozvoj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mindfulness u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dětí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předškolního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věku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.  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Skupinová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a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individuální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resilience u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vybraných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skupin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dětí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a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mládeže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Vnímání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životní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pomoci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u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pracovníků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pomáhajících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profesí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eastAsia="cs-CZ"/>
        </w:rPr>
      </w:pPr>
      <w:proofErr w:type="spellStart"/>
      <w:r>
        <w:rPr>
          <w:rFonts w:ascii="Times New Roman" w:eastAsia="Times New Roman" w:hAnsi="Times New Roman"/>
          <w:sz w:val="22"/>
          <w:szCs w:val="22"/>
          <w:lang w:eastAsia="cs-CZ"/>
        </w:rPr>
        <w:t>Struktura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psychosociální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zátěže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a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preferované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strategie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zvládání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dospívajících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v 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institucionálním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prostředí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Míra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vnímané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kontroly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/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autonomie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u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marginalizovaných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skupin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. </w:t>
      </w:r>
    </w:p>
    <w:p w:rsidR="00355E8F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Fonts w:ascii="Times New Roman" w:eastAsia="Times New Roman" w:hAnsi="Times New Roman"/>
          <w:sz w:val="22"/>
          <w:szCs w:val="22"/>
          <w:lang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Představa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mladé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generace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o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životě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.</w:t>
      </w:r>
    </w:p>
    <w:p w:rsidR="001535AC" w:rsidRPr="00355E8F" w:rsidRDefault="00355E8F" w:rsidP="00355E8F">
      <w:pPr>
        <w:numPr>
          <w:ilvl w:val="0"/>
          <w:numId w:val="14"/>
        </w:numPr>
        <w:spacing w:before="100" w:beforeAutospacing="1" w:after="100" w:afterAutospacing="1" w:line="276" w:lineRule="auto"/>
        <w:ind w:left="714" w:hanging="357"/>
        <w:rPr>
          <w:rStyle w:val="Siln"/>
          <w:rFonts w:ascii="Times New Roman" w:eastAsia="Times New Roman" w:hAnsi="Times New Roman"/>
          <w:b w:val="0"/>
          <w:bCs w:val="0"/>
          <w:sz w:val="22"/>
          <w:szCs w:val="22"/>
          <w:lang w:eastAsia="cs-CZ"/>
        </w:rPr>
      </w:pP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Pracovní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angažovanost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a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motivovanost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vybraných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pracovníků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pomáhajících</w:t>
      </w:r>
      <w:proofErr w:type="spellEnd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/>
          <w:sz w:val="22"/>
          <w:szCs w:val="22"/>
          <w:lang w:eastAsia="cs-CZ"/>
        </w:rPr>
        <w:t>profesí</w:t>
      </w:r>
      <w:proofErr w:type="spellEnd"/>
      <w:r w:rsidR="00A90A53" w:rsidRPr="00355E8F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 xml:space="preserve">. </w:t>
      </w:r>
    </w:p>
    <w:p w:rsidR="00500FCC" w:rsidRPr="001535AC" w:rsidRDefault="002176D5" w:rsidP="001535AC">
      <w:pPr>
        <w:pStyle w:val="Normlnweb"/>
        <w:spacing w:before="100" w:beforeAutospacing="1" w:after="100" w:afterAutospacing="1" w:line="276" w:lineRule="auto"/>
        <w:ind w:left="714" w:hanging="357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Zuzana</w:t>
      </w:r>
      <w:r w:rsidR="00E15C48"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 xml:space="preserve"> </w:t>
      </w: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Hrnčiříková, Ph.D.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Dobrovolnictví jako fenomén doby.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Vzdělávání seniorů - cesta ke kvalitě života v 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séniu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Další profesní vzdělávání ve vybrané organizaci.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lastRenderedPageBreak/>
        <w:t>Edukace seniorů se zaměřením na mezigenerační porozumění.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Význam vzdělávání dospělých v současné společnosti.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Evaluace profesního vzdělávání dospělých.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Analýza vzdělávacích potřeb v neziskovém sektoru.</w:t>
      </w:r>
    </w:p>
    <w:p w:rsidR="00A90A53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Mezigenerační učení jako fenomén edukační reality.</w:t>
      </w:r>
    </w:p>
    <w:p w:rsidR="00F1256E" w:rsidRPr="001535AC" w:rsidRDefault="00A90A53" w:rsidP="001535AC">
      <w:pPr>
        <w:numPr>
          <w:ilvl w:val="0"/>
          <w:numId w:val="18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Distanční vzdělávání a e-</w:t>
      </w: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learning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ve vzdělávání dospělých.</w:t>
      </w:r>
    </w:p>
    <w:p w:rsidR="00E15C48" w:rsidRPr="001535AC" w:rsidRDefault="002176D5" w:rsidP="001535AC">
      <w:pPr>
        <w:pStyle w:val="tlotextu"/>
        <w:spacing w:line="276" w:lineRule="auto"/>
        <w:rPr>
          <w:sz w:val="22"/>
          <w:szCs w:val="22"/>
          <w:u w:val="single"/>
        </w:rPr>
      </w:pPr>
      <w:r w:rsidRPr="001535AC">
        <w:rPr>
          <w:rStyle w:val="Siln"/>
          <w:sz w:val="22"/>
          <w:szCs w:val="22"/>
          <w:u w:val="single"/>
        </w:rPr>
        <w:t> </w:t>
      </w:r>
      <w:r w:rsidR="00E15C48" w:rsidRPr="001535AC">
        <w:rPr>
          <w:b/>
          <w:bCs/>
          <w:sz w:val="22"/>
          <w:szCs w:val="22"/>
          <w:u w:val="single"/>
        </w:rPr>
        <w:t>Mgr. Jan Kalenda, Ph.D.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Motivace ke studiu netradičních studentů v terciárním vzdělávání.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Bariéry ke studiu netradičních studentů v terciárním vzdělávání.</w:t>
      </w:r>
    </w:p>
    <w:p w:rsidR="00E15C48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Hodnotové orientace studentů vysokých škol.</w:t>
      </w:r>
    </w:p>
    <w:p w:rsidR="00A90A53" w:rsidRPr="001535AC" w:rsidRDefault="00E15C48" w:rsidP="001535AC">
      <w:pPr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 w:rsidRPr="001535AC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Kulturní a sociální kapitál studentů vysokých škol.</w:t>
      </w:r>
    </w:p>
    <w:p w:rsidR="00355E8F" w:rsidRPr="00355E8F" w:rsidRDefault="00E15C48" w:rsidP="001535AC">
      <w:pPr>
        <w:pStyle w:val="Default"/>
        <w:spacing w:line="276" w:lineRule="auto"/>
        <w:rPr>
          <w:b/>
          <w:bCs/>
          <w:sz w:val="22"/>
          <w:szCs w:val="22"/>
          <w:u w:val="single"/>
        </w:rPr>
      </w:pPr>
      <w:r w:rsidRPr="001535AC">
        <w:rPr>
          <w:b/>
          <w:bCs/>
          <w:sz w:val="22"/>
          <w:szCs w:val="22"/>
          <w:u w:val="single"/>
        </w:rPr>
        <w:t xml:space="preserve">Mgr. Tomáš Karger, Ph.D. </w:t>
      </w:r>
    </w:p>
    <w:p w:rsidR="00E15C48" w:rsidRPr="00355E8F" w:rsidRDefault="00355E8F" w:rsidP="00355E8F">
      <w:pPr>
        <w:pStyle w:val="Default"/>
        <w:numPr>
          <w:ilvl w:val="0"/>
          <w:numId w:val="21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355E8F">
        <w:rPr>
          <w:rFonts w:eastAsia="Times New Roman"/>
          <w:sz w:val="22"/>
          <w:szCs w:val="22"/>
        </w:rPr>
        <w:t>Mezigenerační učení ve zvoleném prostředí</w:t>
      </w:r>
      <w:r w:rsidR="00E15C48" w:rsidRPr="00355E8F">
        <w:rPr>
          <w:sz w:val="22"/>
          <w:szCs w:val="22"/>
        </w:rPr>
        <w:t>.</w:t>
      </w:r>
    </w:p>
    <w:p w:rsidR="007604AC" w:rsidRPr="00355E8F" w:rsidRDefault="00355E8F" w:rsidP="00355E8F">
      <w:pPr>
        <w:pStyle w:val="Odstavecseseznamem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proofErr w:type="spellStart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Formování</w:t>
      </w:r>
      <w:proofErr w:type="spellEnd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kolektivní</w:t>
      </w:r>
      <w:proofErr w:type="spellEnd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paměti</w:t>
      </w:r>
      <w:proofErr w:type="spellEnd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ve </w:t>
      </w:r>
      <w:proofErr w:type="spellStart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zvoleném</w:t>
      </w:r>
      <w:proofErr w:type="spellEnd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355E8F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prostředí</w:t>
      </w:r>
      <w:proofErr w:type="spellEnd"/>
      <w:r w:rsidR="00E15C48" w:rsidRPr="00355E8F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.</w:t>
      </w:r>
    </w:p>
    <w:p w:rsidR="007604AC" w:rsidRDefault="007604AC" w:rsidP="001535AC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  <w:r w:rsidRPr="001535AC">
        <w:rPr>
          <w:b/>
          <w:sz w:val="22"/>
          <w:szCs w:val="22"/>
          <w:u w:val="single"/>
        </w:rPr>
        <w:t>Mgr. Ilona Kočvarová, Ph.D.</w:t>
      </w:r>
    </w:p>
    <w:p w:rsidR="00EA3C5A" w:rsidRPr="001535AC" w:rsidRDefault="00EA3C5A" w:rsidP="001535AC">
      <w:pPr>
        <w:pStyle w:val="Default"/>
        <w:tabs>
          <w:tab w:val="left" w:pos="720"/>
        </w:tabs>
        <w:spacing w:line="276" w:lineRule="auto"/>
        <w:rPr>
          <w:b/>
          <w:sz w:val="22"/>
          <w:szCs w:val="22"/>
          <w:u w:val="single"/>
        </w:rPr>
      </w:pPr>
    </w:p>
    <w:p w:rsidR="007604AC" w:rsidRDefault="00355E8F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Názory studentů pedagogických studijních programů na výuku metodologie výzkumu.</w:t>
      </w:r>
    </w:p>
    <w:p w:rsidR="00355E8F" w:rsidRDefault="00355E8F" w:rsidP="001535AC">
      <w:pPr>
        <w:pStyle w:val="Odstavecseseznamem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714" w:hanging="357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t>Nabídka celoživotního vzdělávání pro sociální pedagogy.</w:t>
      </w:r>
    </w:p>
    <w:p w:rsidR="00355E8F" w:rsidRPr="001535AC" w:rsidRDefault="00355E8F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B830DB" w:rsidRDefault="00B830DB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et Bc. Jana Krausová, Ph.D.</w:t>
      </w:r>
    </w:p>
    <w:p w:rsidR="00B830DB" w:rsidRDefault="00B830DB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Sociální solidarita</w:t>
      </w: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Mezigenerační vztahy mimo rodinu</w:t>
      </w: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Dobrovolnictví seniorů</w:t>
      </w: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Dobrovolnictví mladých</w:t>
      </w: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Management v sociálních službách</w:t>
      </w:r>
    </w:p>
    <w:p w:rsidR="00B830DB" w:rsidRDefault="00B830DB" w:rsidP="00B830DB">
      <w:pPr>
        <w:pStyle w:val="Default"/>
        <w:numPr>
          <w:ilvl w:val="0"/>
          <w:numId w:val="26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Kariérové poradenství</w:t>
      </w:r>
    </w:p>
    <w:p w:rsidR="00B830DB" w:rsidRPr="00B830DB" w:rsidRDefault="00B830DB" w:rsidP="00B830D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</w:pPr>
    </w:p>
    <w:p w:rsidR="007604AC" w:rsidRPr="001535AC" w:rsidRDefault="007604AC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r w:rsidRPr="001535AC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Mgr. Radana Kroutilová Nováková, Ph.D.</w:t>
      </w:r>
    </w:p>
    <w:p w:rsidR="007604AC" w:rsidRPr="001535AC" w:rsidRDefault="007604AC" w:rsidP="00153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Řízení o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 šetření se žadateli o příspěvek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Pracovní podmínky sociálních pracovníků zajišťujících agendu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Role sociálního pracovníka v rámci řízení o příspěvek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Kontrola využívání příspěvku na péči.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Využívání příspěvku na péči u dětských příjemců.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Možnosti výkonu sociální práce na oddělení nepojistných sociálních dávek ÚP.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Analýza procesu vytváření návrhu zákona o sociálních pracovnících (analýza dokumentů k zákonu, reflexe vlivů různých pojetí sociální práce na tvorbu návrhu).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Transformace pobytových sociálních služeb na příkladu vybraného zařízení.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proofErr w:type="spellStart"/>
      <w:r w:rsidRPr="001535AC">
        <w:rPr>
          <w:rFonts w:ascii="Times New Roman" w:hAnsi="Times New Roman" w:cs="Times New Roman"/>
          <w:sz w:val="22"/>
          <w:szCs w:val="22"/>
          <w:lang w:val="cs-CZ"/>
        </w:rPr>
        <w:t>Pseudosociální</w:t>
      </w:r>
      <w:proofErr w:type="spellEnd"/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služby pro seniory (ubytovny pro seniory).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Potřeby neformálních pečujících.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Dopady dlouhodobého poskytování péče na neformální pečující.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lastRenderedPageBreak/>
        <w:t>Subjektivně pociťovaná kvalita života neformálních pečujících.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Posuzování nepříznivé sociální situace pro přijetí do vybraného domova pro seniory.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Životní situace klientů Sociálně aktivizační služby.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Bariéry rozvoje dobrovolnictví ve vybraném zařízení sociálních služeb.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služby ve vybraném státu světa. 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Sociální služby ve vybraném členském státu Evropské unie. </w:t>
      </w:r>
    </w:p>
    <w:p w:rsidR="007604AC" w:rsidRPr="001535AC" w:rsidRDefault="007604AC" w:rsidP="001535AC">
      <w:pPr>
        <w:pStyle w:val="Odstavecseseznamem"/>
        <w:numPr>
          <w:ilvl w:val="0"/>
          <w:numId w:val="22"/>
        </w:numPr>
        <w:spacing w:after="200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Komunitní plánování ve vybraném městě. </w:t>
      </w:r>
    </w:p>
    <w:p w:rsidR="00EA3C5A" w:rsidRDefault="00EA3C5A" w:rsidP="00EA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 xml:space="preserve">Mgr. Ivana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Olecká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  <w:t>, Ph.D.</w:t>
      </w:r>
    </w:p>
    <w:p w:rsidR="00EA3C5A" w:rsidRDefault="00EA3C5A" w:rsidP="00EA3C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cs-CZ"/>
        </w:rPr>
      </w:pPr>
    </w:p>
    <w:p w:rsidR="00EA3C5A" w:rsidRPr="00EA3C5A" w:rsidRDefault="00EA3C5A" w:rsidP="00EA3C5A">
      <w:pPr>
        <w:pStyle w:val="Odstavecseseznamem"/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Sociální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práce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u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dětí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ze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socioekonomicky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/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sociokulturně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znevýhodněného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prostředí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EA3C5A" w:rsidRPr="00EA3C5A" w:rsidRDefault="00EA3C5A" w:rsidP="00EA3C5A">
      <w:pPr>
        <w:pStyle w:val="Odstavecseseznamem"/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Mateřství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 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sociálně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vyloučených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matek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EA3C5A" w:rsidRPr="00EA3C5A" w:rsidRDefault="00EA3C5A" w:rsidP="00EA3C5A">
      <w:pPr>
        <w:pStyle w:val="Odstavecseseznamem"/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Životní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styl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klientek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azylových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domů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pro 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matky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 xml:space="preserve"> s </w:t>
      </w:r>
      <w:proofErr w:type="spellStart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dětmi</w:t>
      </w:r>
      <w:proofErr w:type="spellEnd"/>
      <w:r w:rsidRPr="00EA3C5A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.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Mgr. Anna Petr Šafránková, Ph.D.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Vzdělávání </w:t>
      </w:r>
      <w:proofErr w:type="spellStart"/>
      <w:r w:rsidRPr="001535AC">
        <w:rPr>
          <w:sz w:val="22"/>
          <w:szCs w:val="22"/>
        </w:rPr>
        <w:t>sociokulturně</w:t>
      </w:r>
      <w:proofErr w:type="spellEnd"/>
      <w:r w:rsidRPr="001535AC">
        <w:rPr>
          <w:sz w:val="22"/>
          <w:szCs w:val="22"/>
        </w:rPr>
        <w:t xml:space="preserve">/socioekonomicky znevýhodněných žáků v českém </w:t>
      </w:r>
      <w:r w:rsidR="001535AC">
        <w:rPr>
          <w:sz w:val="22"/>
          <w:szCs w:val="22"/>
        </w:rPr>
        <w:br/>
      </w:r>
      <w:r w:rsidRPr="001535AC">
        <w:rPr>
          <w:sz w:val="22"/>
          <w:szCs w:val="22"/>
        </w:rPr>
        <w:t xml:space="preserve">i mezinárodním kontextu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Analýza vyrovnávacích opatření pro vzdělávání sociálně znevýhodněných žáků (fungování, efektivita) - v českém i mezinárodním kontextu.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Mechanismy vzniku sociálního znevýhodnění.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>Vnímaná vlastní účinnost (</w:t>
      </w:r>
      <w:proofErr w:type="spellStart"/>
      <w:r w:rsidRPr="001535AC">
        <w:rPr>
          <w:sz w:val="22"/>
          <w:szCs w:val="22"/>
        </w:rPr>
        <w:t>self-efficacy</w:t>
      </w:r>
      <w:proofErr w:type="spellEnd"/>
      <w:r w:rsidRPr="001535AC">
        <w:rPr>
          <w:sz w:val="22"/>
          <w:szCs w:val="22"/>
        </w:rPr>
        <w:t xml:space="preserve">) učitelů ve vztahu k různým aspektům diverzity ve školním vzdělávání.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Diverzita v základním vzdělávání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Připravenost učitelů na žákovskou diverzitu.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Spravedlnost ve školním prostředí.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Inkluzivní vzdělávání - od teorie k praxi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Diferenciace a selekce v základním vzdělávání (zaměřeno na konkrétní studentem vybraný aspekt této oblasti).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after="27"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Učitelovo pojetí sociálně znevýhodněných žáků. </w:t>
      </w:r>
    </w:p>
    <w:p w:rsidR="00F1256E" w:rsidRPr="001535AC" w:rsidRDefault="00F1256E" w:rsidP="001535AC">
      <w:pPr>
        <w:pStyle w:val="Default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1535AC">
        <w:rPr>
          <w:sz w:val="22"/>
          <w:szCs w:val="22"/>
        </w:rPr>
        <w:t xml:space="preserve">Vzdělanostní šance jedinců pocházejících ze sociálně znevýhodněného prostředí. </w:t>
      </w:r>
    </w:p>
    <w:p w:rsidR="00500FCC" w:rsidRPr="001535AC" w:rsidRDefault="002176D5" w:rsidP="001535AC">
      <w:pPr>
        <w:pStyle w:val="Normlnweb"/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1535AC">
        <w:rPr>
          <w:rStyle w:val="Siln"/>
          <w:rFonts w:ascii="Times New Roman" w:hAnsi="Times New Roman" w:cs="Times New Roman"/>
          <w:sz w:val="22"/>
          <w:szCs w:val="22"/>
          <w:u w:val="single"/>
          <w:lang w:val="cs-CZ"/>
        </w:rPr>
        <w:t>PhDr. Helena Skarupská, Ph.D.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Výchova v sociokulturním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kontextu.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Vliv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výchovy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na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utváření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kulturní identity.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Proměny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sociálního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zabezpečení.</w:t>
      </w:r>
    </w:p>
    <w:p w:rsidR="00500FCC" w:rsidRPr="001535AC" w:rsidRDefault="002176D5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 w:rsidRPr="001535AC">
        <w:rPr>
          <w:rFonts w:ascii="Times New Roman" w:hAnsi="Times New Roman" w:cs="Times New Roman"/>
          <w:sz w:val="22"/>
          <w:szCs w:val="22"/>
          <w:lang w:val="cs-CZ"/>
        </w:rPr>
        <w:t>Vztah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práce a 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1535AC">
        <w:rPr>
          <w:rFonts w:ascii="Times New Roman" w:hAnsi="Times New Roman" w:cs="Times New Roman"/>
          <w:sz w:val="22"/>
          <w:szCs w:val="22"/>
          <w:lang w:val="cs-CZ"/>
        </w:rPr>
        <w:t>pedagogiky.</w:t>
      </w:r>
    </w:p>
    <w:p w:rsidR="00500FCC" w:rsidRPr="001535AC" w:rsidRDefault="001535AC" w:rsidP="001535AC">
      <w:pPr>
        <w:numPr>
          <w:ilvl w:val="0"/>
          <w:numId w:val="12"/>
        </w:numPr>
        <w:spacing w:beforeAutospacing="1" w:after="0" w:afterAutospacing="1" w:line="276" w:lineRule="auto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>Využi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tí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metod a technik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práce v sociální</w:t>
      </w:r>
      <w:r w:rsidR="00F1256E" w:rsidRPr="001535A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2176D5" w:rsidRPr="001535AC">
        <w:rPr>
          <w:rFonts w:ascii="Times New Roman" w:hAnsi="Times New Roman" w:cs="Times New Roman"/>
          <w:sz w:val="22"/>
          <w:szCs w:val="22"/>
          <w:lang w:val="cs-CZ"/>
        </w:rPr>
        <w:t>pedagogice.</w:t>
      </w:r>
    </w:p>
    <w:sectPr w:rsidR="00500FCC" w:rsidRPr="001535AC" w:rsidSect="000041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9C6"/>
    <w:multiLevelType w:val="hybridMultilevel"/>
    <w:tmpl w:val="1E920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844"/>
    <w:multiLevelType w:val="hybridMultilevel"/>
    <w:tmpl w:val="962ED22C"/>
    <w:lvl w:ilvl="0" w:tplc="934C53D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4A29"/>
    <w:multiLevelType w:val="multilevel"/>
    <w:tmpl w:val="AA1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80791"/>
    <w:multiLevelType w:val="multilevel"/>
    <w:tmpl w:val="B29827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3D57732B"/>
    <w:multiLevelType w:val="hybridMultilevel"/>
    <w:tmpl w:val="2020C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F381F"/>
    <w:multiLevelType w:val="multilevel"/>
    <w:tmpl w:val="584F38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584F3856"/>
    <w:multiLevelType w:val="multilevel"/>
    <w:tmpl w:val="268C3F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2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84F3882"/>
    <w:multiLevelType w:val="multilevel"/>
    <w:tmpl w:val="584F38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 w15:restartNumberingAfterBreak="0">
    <w:nsid w:val="584FBDF2"/>
    <w:multiLevelType w:val="multilevel"/>
    <w:tmpl w:val="9EA0D9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 w15:restartNumberingAfterBreak="0">
    <w:nsid w:val="584FBE46"/>
    <w:multiLevelType w:val="multilevel"/>
    <w:tmpl w:val="584FBE4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 w15:restartNumberingAfterBreak="0">
    <w:nsid w:val="584FBE51"/>
    <w:multiLevelType w:val="multilevel"/>
    <w:tmpl w:val="C472F5E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 w15:restartNumberingAfterBreak="0">
    <w:nsid w:val="584FBE5C"/>
    <w:multiLevelType w:val="multilevel"/>
    <w:tmpl w:val="5AE0D6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 w15:restartNumberingAfterBreak="0">
    <w:nsid w:val="584FBE67"/>
    <w:multiLevelType w:val="multilevel"/>
    <w:tmpl w:val="D2F6D8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 w15:restartNumberingAfterBreak="0">
    <w:nsid w:val="584FBE72"/>
    <w:multiLevelType w:val="multilevel"/>
    <w:tmpl w:val="584FBE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4" w15:restartNumberingAfterBreak="0">
    <w:nsid w:val="584FBE7D"/>
    <w:multiLevelType w:val="multilevel"/>
    <w:tmpl w:val="915AD4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 w15:restartNumberingAfterBreak="0">
    <w:nsid w:val="584FBE88"/>
    <w:multiLevelType w:val="multilevel"/>
    <w:tmpl w:val="58BA73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6" w15:restartNumberingAfterBreak="0">
    <w:nsid w:val="584FBE93"/>
    <w:multiLevelType w:val="multilevel"/>
    <w:tmpl w:val="98B010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7" w15:restartNumberingAfterBreak="0">
    <w:nsid w:val="584FBE9E"/>
    <w:multiLevelType w:val="multilevel"/>
    <w:tmpl w:val="584FBE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8" w15:restartNumberingAfterBreak="0">
    <w:nsid w:val="584FBEA9"/>
    <w:multiLevelType w:val="multilevel"/>
    <w:tmpl w:val="584FBE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 w15:restartNumberingAfterBreak="0">
    <w:nsid w:val="584FBEB4"/>
    <w:multiLevelType w:val="multilevel"/>
    <w:tmpl w:val="584FBE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0" w15:restartNumberingAfterBreak="0">
    <w:nsid w:val="584FBEBF"/>
    <w:multiLevelType w:val="multilevel"/>
    <w:tmpl w:val="584FBEB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 w15:restartNumberingAfterBreak="0">
    <w:nsid w:val="584FBECA"/>
    <w:multiLevelType w:val="multilevel"/>
    <w:tmpl w:val="584FBEC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 w15:restartNumberingAfterBreak="0">
    <w:nsid w:val="585D3CDC"/>
    <w:multiLevelType w:val="hybridMultilevel"/>
    <w:tmpl w:val="DBEA2DB2"/>
    <w:lvl w:ilvl="0" w:tplc="73B43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D16C7"/>
    <w:multiLevelType w:val="hybridMultilevel"/>
    <w:tmpl w:val="BD026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10A83"/>
    <w:multiLevelType w:val="multilevel"/>
    <w:tmpl w:val="E43E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C5651E"/>
    <w:multiLevelType w:val="hybridMultilevel"/>
    <w:tmpl w:val="6E5E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161DE"/>
    <w:multiLevelType w:val="hybridMultilevel"/>
    <w:tmpl w:val="6E5E6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0"/>
  </w:num>
  <w:num w:numId="10">
    <w:abstractNumId w:val="21"/>
  </w:num>
  <w:num w:numId="11">
    <w:abstractNumId w:val="11"/>
  </w:num>
  <w:num w:numId="12">
    <w:abstractNumId w:val="12"/>
  </w:num>
  <w:num w:numId="13">
    <w:abstractNumId w:val="13"/>
  </w:num>
  <w:num w:numId="14">
    <w:abstractNumId w:val="1"/>
  </w:num>
  <w:num w:numId="15">
    <w:abstractNumId w:val="7"/>
  </w:num>
  <w:num w:numId="16">
    <w:abstractNumId w:val="24"/>
  </w:num>
  <w:num w:numId="17">
    <w:abstractNumId w:val="5"/>
  </w:num>
  <w:num w:numId="18">
    <w:abstractNumId w:val="3"/>
  </w:num>
  <w:num w:numId="19">
    <w:abstractNumId w:val="6"/>
  </w:num>
  <w:num w:numId="20">
    <w:abstractNumId w:val="2"/>
  </w:num>
  <w:num w:numId="21">
    <w:abstractNumId w:val="8"/>
  </w:num>
  <w:num w:numId="22">
    <w:abstractNumId w:val="23"/>
  </w:num>
  <w:num w:numId="23">
    <w:abstractNumId w:val="25"/>
  </w:num>
  <w:num w:numId="24">
    <w:abstractNumId w:val="26"/>
  </w:num>
  <w:num w:numId="25">
    <w:abstractNumId w:val="22"/>
  </w:num>
  <w:num w:numId="26">
    <w:abstractNumId w:val="0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92F70"/>
    <w:rsid w:val="000041CB"/>
    <w:rsid w:val="00036A4A"/>
    <w:rsid w:val="0011497F"/>
    <w:rsid w:val="001535AC"/>
    <w:rsid w:val="001935F2"/>
    <w:rsid w:val="002176D5"/>
    <w:rsid w:val="002F3CF9"/>
    <w:rsid w:val="00355E8F"/>
    <w:rsid w:val="003B1DBF"/>
    <w:rsid w:val="003C1254"/>
    <w:rsid w:val="00500FCC"/>
    <w:rsid w:val="005076BE"/>
    <w:rsid w:val="00566646"/>
    <w:rsid w:val="00667C2F"/>
    <w:rsid w:val="006E72FF"/>
    <w:rsid w:val="007604AC"/>
    <w:rsid w:val="0076442B"/>
    <w:rsid w:val="00782E92"/>
    <w:rsid w:val="007A58D9"/>
    <w:rsid w:val="007B0D15"/>
    <w:rsid w:val="007C1CE3"/>
    <w:rsid w:val="008E6FB1"/>
    <w:rsid w:val="00A90A53"/>
    <w:rsid w:val="00B830DB"/>
    <w:rsid w:val="00BC00DE"/>
    <w:rsid w:val="00D158AA"/>
    <w:rsid w:val="00DE0398"/>
    <w:rsid w:val="00E15C48"/>
    <w:rsid w:val="00E864BC"/>
    <w:rsid w:val="00EA0C2C"/>
    <w:rsid w:val="00EA3C5A"/>
    <w:rsid w:val="00EE1996"/>
    <w:rsid w:val="00F1256E"/>
    <w:rsid w:val="00F95511"/>
    <w:rsid w:val="00FB0DFA"/>
    <w:rsid w:val="00FC1F47"/>
    <w:rsid w:val="5AE9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9D23F"/>
  <w15:docId w15:val="{7CC215E7-655A-4C8D-9515-97AC0113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1CB"/>
    <w:rPr>
      <w:rFonts w:asciiTheme="minorHAnsi" w:eastAsiaTheme="minorEastAsia" w:hAnsiTheme="minorHAnsi" w:cstheme="minorBidi"/>
      <w:lang w:val="en-US" w:eastAsia="zh-CN"/>
    </w:rPr>
  </w:style>
  <w:style w:type="paragraph" w:styleId="Nadpis2">
    <w:name w:val="heading 2"/>
    <w:next w:val="Normln"/>
    <w:unhideWhenUsed/>
    <w:qFormat/>
    <w:rsid w:val="000041CB"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041CB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041CB"/>
    <w:rPr>
      <w:b/>
      <w:bCs/>
    </w:rPr>
  </w:style>
  <w:style w:type="paragraph" w:styleId="Odstavecseseznamem">
    <w:name w:val="List Paragraph"/>
    <w:basedOn w:val="Normln"/>
    <w:uiPriority w:val="99"/>
    <w:qFormat/>
    <w:rsid w:val="00FC1F47"/>
    <w:pPr>
      <w:ind w:left="720"/>
      <w:contextualSpacing/>
    </w:pPr>
  </w:style>
  <w:style w:type="paragraph" w:customStyle="1" w:styleId="Default">
    <w:name w:val="Default"/>
    <w:rsid w:val="00A90A5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lotextu">
    <w:name w:val="tlotextu"/>
    <w:basedOn w:val="Normln"/>
    <w:rsid w:val="00E1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15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15C48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semiHidden/>
    <w:unhideWhenUsed/>
    <w:rsid w:val="00EA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A3C5A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Tematické okruhy diplomových prací na rok 2016/2017 Sociální pedagogika (KF,PF)</vt:lpstr>
    </vt:vector>
  </TitlesOfParts>
  <Company>Univerzita Tomáše Bati ve Zlíně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Tematické okruhy diplomových prací na rok 2016/2017 Sociální pedagogika (KF,PF)</dc:title>
  <dc:creator>Internet</dc:creator>
  <cp:lastModifiedBy>Petra Cejnarová</cp:lastModifiedBy>
  <cp:revision>5</cp:revision>
  <cp:lastPrinted>2019-01-14T12:52:00Z</cp:lastPrinted>
  <dcterms:created xsi:type="dcterms:W3CDTF">2019-01-14T12:52:00Z</dcterms:created>
  <dcterms:modified xsi:type="dcterms:W3CDTF">2019-04-02T14:40:00Z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