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123B3B3D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C020C9">
        <w:rPr>
          <w:b/>
        </w:rPr>
        <w:t>1</w:t>
      </w:r>
      <w:r w:rsidR="005C4F58">
        <w:rPr>
          <w:b/>
        </w:rPr>
        <w:t>/202</w:t>
      </w:r>
      <w:r w:rsidR="00C020C9">
        <w:rPr>
          <w:b/>
        </w:rPr>
        <w:t>2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4A76551E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650243">
        <w:rPr>
          <w:szCs w:val="24"/>
        </w:rPr>
        <w:t xml:space="preserve"> </w:t>
      </w:r>
      <w:r w:rsidR="002545BC">
        <w:rPr>
          <w:szCs w:val="24"/>
        </w:rPr>
        <w:t>(bude doplněno)</w:t>
      </w:r>
      <w:r w:rsidR="00650243">
        <w:rPr>
          <w:szCs w:val="24"/>
        </w:rPr>
        <w:t>.</w:t>
      </w:r>
      <w:r w:rsidR="00EE1003" w:rsidRPr="00DB7B07">
        <w:rPr>
          <w:b/>
          <w:vanish/>
          <w:sz w:val="23"/>
          <w:szCs w:val="23"/>
        </w:rPr>
        <w:t xml:space="preserve"> 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lastRenderedPageBreak/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38AC38EA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6E455501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27.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C020C9">
        <w:rPr>
          <w:b/>
        </w:rPr>
        <w:t>1</w:t>
      </w:r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4C7BA862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 xml:space="preserve">27.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C020C9">
        <w:rPr>
          <w:b/>
        </w:rPr>
        <w:t>1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</w:t>
      </w:r>
      <w:bookmarkStart w:id="0" w:name="_GoBack"/>
      <w:bookmarkEnd w:id="0"/>
      <w:r>
        <w:rPr>
          <w:szCs w:val="23"/>
        </w:rPr>
        <w:t xml:space="preserve">ěch uchazeče, zejména výsledky 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35380B6F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267F5F">
        <w:rPr>
          <w:b/>
          <w:szCs w:val="23"/>
        </w:rPr>
        <w:t>3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C020C9">
        <w:rPr>
          <w:b/>
          <w:szCs w:val="23"/>
        </w:rPr>
        <w:t>1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lastRenderedPageBreak/>
        <w:t>3. Organizace přijímacího řízení</w:t>
      </w:r>
    </w:p>
    <w:p w14:paraId="39AE8745" w14:textId="008698F3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hyperlink r:id="rId10" w:history="1">
        <w:r w:rsidRPr="00B8420E">
          <w:rPr>
            <w:rStyle w:val="Hypertextovodkaz"/>
            <w:szCs w:val="24"/>
          </w:rPr>
          <w:t>studijní oddělení FHS</w:t>
        </w:r>
        <w:r w:rsidR="00D66730" w:rsidRPr="00B8420E">
          <w:rPr>
            <w:rStyle w:val="Hypertextovodkaz"/>
            <w:szCs w:val="24"/>
          </w:rPr>
          <w:t xml:space="preserve"> </w:t>
        </w:r>
        <w:r w:rsidR="00D66730" w:rsidRPr="00E01AA2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27.</w:t>
      </w:r>
      <w:r w:rsidR="00F70EE2">
        <w:rPr>
          <w:b/>
          <w:szCs w:val="24"/>
        </w:rPr>
        <w:t xml:space="preserve"> 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267F5F">
        <w:rPr>
          <w:b/>
          <w:szCs w:val="24"/>
        </w:rPr>
        <w:t>1</w:t>
      </w:r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4F20D7C3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r w:rsidR="00736F5E">
        <w:t>5</w:t>
      </w:r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r w:rsidR="00736F5E">
        <w:t>3</w:t>
      </w:r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27.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r w:rsidR="00267F5F">
        <w:rPr>
          <w:b/>
        </w:rPr>
        <w:t>1</w:t>
      </w:r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6421ACF1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</w:t>
      </w:r>
      <w:r w:rsidR="00176B7B">
        <w:t> </w:t>
      </w:r>
      <w:r w:rsidR="009703B5" w:rsidRPr="005C17E8">
        <w:rPr>
          <w:rStyle w:val="Hypertextovodkaz"/>
          <w:color w:val="000000" w:themeColor="text1"/>
          <w:u w:val="none"/>
        </w:rPr>
        <w:t>1</w:t>
      </w:r>
      <w:r w:rsidR="00267F5F">
        <w:rPr>
          <w:rStyle w:val="Hypertextovodkaz"/>
          <w:color w:val="000000" w:themeColor="text1"/>
          <w:u w:val="none"/>
        </w:rPr>
        <w:t>3</w:t>
      </w:r>
      <w:r w:rsidR="009703B5" w:rsidRPr="006211AC">
        <w:rPr>
          <w:rStyle w:val="Hypertextovodkaz"/>
          <w:color w:val="000000" w:themeColor="text1"/>
          <w:u w:val="none"/>
        </w:rPr>
        <w:t xml:space="preserve">. </w:t>
      </w:r>
      <w:r w:rsidR="0090146A" w:rsidRPr="006211AC">
        <w:rPr>
          <w:rStyle w:val="Hypertextovodkaz"/>
          <w:color w:val="000000" w:themeColor="text1"/>
          <w:u w:val="none"/>
        </w:rPr>
        <w:t>září</w:t>
      </w:r>
      <w:r w:rsidR="009703B5" w:rsidRPr="006211AC">
        <w:rPr>
          <w:rStyle w:val="Hypertextovodkaz"/>
          <w:color w:val="000000" w:themeColor="text1"/>
          <w:u w:val="none"/>
        </w:rPr>
        <w:t xml:space="preserve"> </w:t>
      </w:r>
      <w:r w:rsidR="009703B5" w:rsidRPr="005C17E8">
        <w:rPr>
          <w:rStyle w:val="Hypertextovodkaz"/>
          <w:color w:val="000000" w:themeColor="text1"/>
          <w:u w:val="none"/>
        </w:rPr>
        <w:t>20</w:t>
      </w:r>
      <w:r w:rsidR="00FD2715">
        <w:rPr>
          <w:rStyle w:val="Hypertextovodkaz"/>
          <w:color w:val="000000" w:themeColor="text1"/>
          <w:u w:val="none"/>
        </w:rPr>
        <w:t>2</w:t>
      </w:r>
      <w:r w:rsidR="00267F5F">
        <w:rPr>
          <w:rStyle w:val="Hypertextovodkaz"/>
          <w:color w:val="000000" w:themeColor="text1"/>
          <w:u w:val="none"/>
        </w:rPr>
        <w:t>1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lastRenderedPageBreak/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027107A8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</w:t>
      </w:r>
      <w:r w:rsidR="006646FA">
        <w:t xml:space="preserve">             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</w:p>
    <w:p w14:paraId="617862FF" w14:textId="6543A8C9" w:rsidR="007852F6" w:rsidRDefault="009D044B" w:rsidP="006211AC">
      <w:pPr>
        <w:jc w:val="both"/>
      </w:pPr>
      <w:r>
        <w:t xml:space="preserve">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 w:rsidR="006646FA">
        <w:tab/>
        <w:t xml:space="preserve">   </w:t>
      </w:r>
      <w:r w:rsidR="00610F66">
        <w:t xml:space="preserve">  </w:t>
      </w:r>
      <w:r>
        <w:t>děkan FHS</w:t>
      </w:r>
    </w:p>
    <w:sectPr w:rsidR="007852F6" w:rsidSect="006211AC">
      <w:headerReference w:type="default" r:id="rId11"/>
      <w:footerReference w:type="default" r:id="rId12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B78D" w14:textId="77777777" w:rsidR="001172A3" w:rsidRDefault="001172A3">
      <w:r>
        <w:separator/>
      </w:r>
    </w:p>
  </w:endnote>
  <w:endnote w:type="continuationSeparator" w:id="0">
    <w:p w14:paraId="5A80E08C" w14:textId="77777777" w:rsidR="001172A3" w:rsidRDefault="001172A3">
      <w:r>
        <w:continuationSeparator/>
      </w:r>
    </w:p>
  </w:endnote>
  <w:endnote w:type="continuationNotice" w:id="1">
    <w:p w14:paraId="4238A7BC" w14:textId="77777777" w:rsidR="001172A3" w:rsidRDefault="001172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32921E30" w:rsidR="001172A3" w:rsidRPr="002C0D30" w:rsidRDefault="00737B18" w:rsidP="002C0D30">
    <w:pPr>
      <w:pStyle w:val="Zpat"/>
      <w:jc w:val="center"/>
      <w:rPr>
        <w:i/>
      </w:rPr>
    </w:pPr>
    <w:r w:rsidRPr="002C0D30">
      <w:rPr>
        <w:i/>
      </w:rPr>
      <w:t xml:space="preserve">Verze pro </w:t>
    </w:r>
    <w:r w:rsidR="002C0D30" w:rsidRPr="002C0D30">
      <w:rPr>
        <w:i/>
      </w:rPr>
      <w:t>zasedání AS FHS dne 1</w:t>
    </w:r>
    <w:r w:rsidR="00740503">
      <w:rPr>
        <w:i/>
      </w:rPr>
      <w:t>1</w:t>
    </w:r>
    <w:r w:rsidR="002C0D30" w:rsidRPr="002C0D30">
      <w:rPr>
        <w:i/>
      </w:rPr>
      <w:t xml:space="preserve">. </w:t>
    </w:r>
    <w:r w:rsidR="00740503">
      <w:rPr>
        <w:i/>
      </w:rPr>
      <w:t>listopadu</w:t>
    </w:r>
    <w:r w:rsidR="002C0D30" w:rsidRPr="002C0D30">
      <w:rPr>
        <w:i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DA73" w14:textId="77777777" w:rsidR="001172A3" w:rsidRDefault="001172A3">
      <w:r>
        <w:separator/>
      </w:r>
    </w:p>
  </w:footnote>
  <w:footnote w:type="continuationSeparator" w:id="0">
    <w:p w14:paraId="70315A9F" w14:textId="77777777" w:rsidR="001172A3" w:rsidRDefault="001172A3">
      <w:r>
        <w:continuationSeparator/>
      </w:r>
    </w:p>
  </w:footnote>
  <w:footnote w:type="continuationNotice" w:id="1">
    <w:p w14:paraId="40EBAEA6" w14:textId="77777777" w:rsidR="001172A3" w:rsidRDefault="001172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678B9"/>
    <w:rsid w:val="00370AF2"/>
    <w:rsid w:val="003720CB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CC8"/>
    <w:rsid w:val="003F5DC2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F5E"/>
    <w:rsid w:val="00737477"/>
    <w:rsid w:val="00737B18"/>
    <w:rsid w:val="00740503"/>
    <w:rsid w:val="00743E22"/>
    <w:rsid w:val="007463D3"/>
    <w:rsid w:val="00751617"/>
    <w:rsid w:val="00752E5D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b.cz/fhs/o-fakulte/smernice-k-prijimacimu-rize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1CD6F05B-9CF1-4DB1-BE10-F0838478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868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3</cp:revision>
  <cp:lastPrinted>2016-10-24T06:00:00Z</cp:lastPrinted>
  <dcterms:created xsi:type="dcterms:W3CDTF">2020-11-07T18:38:00Z</dcterms:created>
  <dcterms:modified xsi:type="dcterms:W3CDTF">2020-11-07T18:38:00Z</dcterms:modified>
</cp:coreProperties>
</file>