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41A2C4CD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 získaným do </w:t>
      </w:r>
      <w:r w:rsidR="005D66E9" w:rsidRPr="0018792C">
        <w:rPr>
          <w:b/>
        </w:rPr>
        <w:t>18.</w:t>
      </w:r>
      <w:r w:rsidR="0018792C">
        <w:rPr>
          <w:b/>
        </w:rPr>
        <w:t> </w:t>
      </w:r>
      <w:r w:rsidR="005D66E9" w:rsidRPr="007E0AF2">
        <w:rPr>
          <w:b/>
        </w:rPr>
        <w:t xml:space="preserve">června </w:t>
      </w:r>
      <w:r w:rsidR="005D66E9" w:rsidRPr="0018792C">
        <w:rPr>
          <w:b/>
        </w:rPr>
        <w:t>2021</w:t>
      </w:r>
      <w:r w:rsidR="00882F30" w:rsidRPr="007E0AF2">
        <w:rPr>
          <w:b/>
        </w:rPr>
        <w:t>.</w:t>
      </w:r>
      <w:r w:rsidR="003E6184" w:rsidRPr="007E0AF2">
        <w:rPr>
          <w:b/>
        </w:rPr>
        <w:t xml:space="preserve"> </w:t>
      </w:r>
      <w:r w:rsidR="003E6184" w:rsidRPr="00AB39A0">
        <w:t xml:space="preserve">Výsledek maturitní zkoušky je </w:t>
      </w:r>
      <w:r w:rsidR="005A2821" w:rsidRPr="00AB39A0">
        <w:t>rozhodujícím kritériem pro přijetí uchazeče.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lastRenderedPageBreak/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r w:rsidR="0013481E">
        <w:fldChar w:fldCharType="begin"/>
      </w:r>
      <w:r w:rsidR="0013481E">
        <w:instrText xml:space="preserve"> HYPERLINK "https://fhs.utb.cz/studium/studijni-od</w:instrText>
      </w:r>
      <w:r w:rsidR="0013481E">
        <w:instrText xml:space="preserve">deleni/kontakty/" </w:instrText>
      </w:r>
      <w:r w:rsidR="0013481E">
        <w:fldChar w:fldCharType="separate"/>
      </w:r>
      <w:r w:rsidR="00DB7473" w:rsidRPr="00B52A01">
        <w:rPr>
          <w:rStyle w:val="Hypertextovodkaz"/>
        </w:rPr>
        <w:t>studijní oddělení FHS</w:t>
      </w:r>
      <w:r w:rsidR="00DF297C" w:rsidRPr="00B52A01">
        <w:rPr>
          <w:rStyle w:val="Hypertextovodkaz"/>
        </w:rPr>
        <w:t xml:space="preserve"> </w:t>
      </w:r>
      <w:r w:rsidR="00DF297C" w:rsidRPr="00973CA1">
        <w:rPr>
          <w:rStyle w:val="Hypertextovodkaz"/>
          <w:color w:val="auto"/>
          <w:u w:val="none"/>
          <w:rPrChange w:id="0" w:author="Uživatel" w:date="2020-11-07T19:21:00Z">
            <w:rPr>
              <w:rStyle w:val="Hypertextovodkaz"/>
            </w:rPr>
          </w:rPrChange>
        </w:rPr>
        <w:t>(Štefánikova 5670, 760 01 Zlín)</w:t>
      </w:r>
      <w:r w:rsidR="0013481E">
        <w:rPr>
          <w:rStyle w:val="Hypertextovodkaz"/>
        </w:rPr>
        <w:fldChar w:fldCharType="end"/>
      </w:r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7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5C1EC797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8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 xml:space="preserve">na </w:t>
      </w:r>
      <w:r w:rsidR="00524E17" w:rsidRPr="00AB39A0">
        <w:lastRenderedPageBreak/>
        <w:t>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Žádné součásti přihlášky se uchazečům nevracejí.</w:t>
      </w:r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2AD144AA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r w:rsidR="006B6F5D" w:rsidRPr="00AB39A0">
        <w:t xml:space="preserve">hodnocení </w:t>
      </w:r>
      <w:r w:rsidR="006B6F5D">
        <w:t xml:space="preserve">jednotlivých </w:t>
      </w:r>
      <w:r w:rsidR="00244F9C" w:rsidRPr="00AB39A0">
        <w:t>předmětů</w:t>
      </w:r>
      <w:r w:rsidR="00697A5D" w:rsidRPr="00AB39A0">
        <w:t xml:space="preserve"> maturitní zkoušky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9" w:history="1">
        <w:r w:rsidR="00D965EC" w:rsidRPr="00B52A01">
          <w:rPr>
            <w:rStyle w:val="Hypertextovodkaz"/>
          </w:rPr>
          <w:t>Úřední desce</w:t>
        </w:r>
      </w:hyperlink>
      <w:ins w:id="1" w:author="Uživatel" w:date="2020-11-07T19:22:00Z">
        <w:r w:rsidR="00973CA1">
          <w:rPr>
            <w:rStyle w:val="Hypertextovodkaz"/>
          </w:rPr>
          <w:t xml:space="preserve"> FHS</w:t>
        </w:r>
      </w:ins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lastRenderedPageBreak/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</w:t>
      </w:r>
      <w:bookmarkStart w:id="2" w:name="_GoBack"/>
      <w:bookmarkEnd w:id="2"/>
      <w:r w:rsidRPr="00AB39A0">
        <w:t>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0"/>
      <w:footerReference w:type="default" r:id="rId11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308FBCD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ins w:id="3" w:author="Uživatel" w:date="2020-11-07T19:22:00Z">
      <w:r w:rsidR="0013481E">
        <w:rPr>
          <w:i/>
        </w:rPr>
        <w:t>1</w:t>
      </w:r>
    </w:ins>
    <w:del w:id="4" w:author="Uživatel" w:date="2020-11-07T19:22:00Z">
      <w:r w:rsidRPr="00237BCA" w:rsidDel="0013481E">
        <w:rPr>
          <w:i/>
        </w:rPr>
        <w:delText>4</w:delText>
      </w:r>
    </w:del>
    <w:r w:rsidRPr="00237BCA">
      <w:rPr>
        <w:i/>
      </w:rPr>
      <w:t xml:space="preserve">. </w:t>
    </w:r>
    <w:del w:id="5" w:author="Uživatel" w:date="2020-11-07T19:22:00Z">
      <w:r w:rsidRPr="00237BCA" w:rsidDel="0013481E">
        <w:rPr>
          <w:i/>
        </w:rPr>
        <w:delText xml:space="preserve">října </w:delText>
      </w:r>
    </w:del>
    <w:ins w:id="6" w:author="Uživatel" w:date="2020-11-07T19:22:00Z">
      <w:r w:rsidR="0013481E">
        <w:rPr>
          <w:i/>
        </w:rPr>
        <w:t>listopadu</w:t>
      </w:r>
      <w:r w:rsidR="0013481E" w:rsidRPr="00237BCA">
        <w:rPr>
          <w:i/>
        </w:rPr>
        <w:t xml:space="preserve"> </w:t>
      </w:r>
    </w:ins>
    <w:r w:rsidRPr="00237BCA">
      <w:rPr>
        <w:i/>
      </w:rPr>
      <w:t>2020.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2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prihlaska.ut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hs.utb.cz/o-fakulte/uredni-desk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6355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5</cp:revision>
  <cp:lastPrinted>2020-10-02T06:40:00Z</cp:lastPrinted>
  <dcterms:created xsi:type="dcterms:W3CDTF">2020-11-07T18:21:00Z</dcterms:created>
  <dcterms:modified xsi:type="dcterms:W3CDTF">2020-11-07T18:22:00Z</dcterms:modified>
</cp:coreProperties>
</file>