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9E" w:rsidRDefault="0029379E" w:rsidP="00F345AE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107404" w:rsidRPr="001B7FA2" w:rsidRDefault="002C2FC3" w:rsidP="00F345AE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K</w:t>
      </w:r>
      <w:r w:rsidR="00F96E09" w:rsidRPr="001B7FA2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oncepce Centra 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podpory vzdělávání</w:t>
      </w:r>
    </w:p>
    <w:p w:rsidR="00F345AE" w:rsidRDefault="00F345AE" w:rsidP="009E1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5AE" w:rsidRPr="001B7FA2" w:rsidRDefault="00192D2A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1. </w:t>
      </w:r>
      <w:r w:rsidR="00E579D8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PŘEDMĚT KONCEPCE</w:t>
      </w:r>
    </w:p>
    <w:p w:rsidR="0020036D" w:rsidRDefault="00E579D8" w:rsidP="009F27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Předmětem koncepce </w:t>
      </w:r>
      <w:r w:rsidR="00C93D75">
        <w:rPr>
          <w:rFonts w:ascii="Times New Roman" w:hAnsi="Times New Roman" w:cs="Times New Roman"/>
          <w:color w:val="000000" w:themeColor="text1"/>
          <w:sz w:val="24"/>
          <w:szCs w:val="24"/>
        </w:rPr>
        <w:t>je zřízení a fungování Centra podpory vzdělá</w:t>
      </w:r>
      <w:r w:rsidR="002B29DE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C93D75">
        <w:rPr>
          <w:rFonts w:ascii="Times New Roman" w:hAnsi="Times New Roman" w:cs="Times New Roman"/>
          <w:color w:val="000000" w:themeColor="text1"/>
          <w:sz w:val="24"/>
          <w:szCs w:val="24"/>
        </w:rPr>
        <w:t>ní (dále jen „CPV“) jako organizační jednotky Fakulty humanitních studií (dále jen „FHS“).</w:t>
      </w:r>
      <w:r w:rsidR="002B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Jedná se o projektové centrum s širokým tematickým záběrem, jehož společným jmenovatelem je 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jedné straně </w:t>
      </w:r>
      <w:r w:rsidR="00410D78">
        <w:rPr>
          <w:rFonts w:ascii="Times New Roman" w:hAnsi="Times New Roman" w:cs="Times New Roman"/>
          <w:color w:val="000000" w:themeColor="text1"/>
          <w:sz w:val="24"/>
          <w:szCs w:val="24"/>
        </w:rPr>
        <w:t>problematika</w:t>
      </w:r>
      <w:r w:rsidR="002B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D78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vzdělávání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>, na straně dru</w:t>
      </w:r>
      <w:r w:rsidR="00C87111">
        <w:rPr>
          <w:rFonts w:ascii="Times New Roman" w:hAnsi="Times New Roman" w:cs="Times New Roman"/>
          <w:color w:val="000000" w:themeColor="text1"/>
          <w:sz w:val="24"/>
          <w:szCs w:val="24"/>
        </w:rPr>
        <w:t>hé projektová činnost</w:t>
      </w:r>
      <w:r w:rsidR="008B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tj. </w:t>
      </w:r>
      <w:r w:rsidR="008B7546"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příprava a</w:t>
      </w:r>
      <w:r w:rsidR="008B754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B7546"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realizace strategických a rozvojových projektů v oblasti vzdělávání</w:t>
      </w:r>
      <w:r w:rsidR="00410D78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0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546">
        <w:rPr>
          <w:rFonts w:ascii="Times New Roman" w:hAnsi="Times New Roman" w:cs="Times New Roman"/>
          <w:color w:val="000000" w:themeColor="text1"/>
          <w:sz w:val="24"/>
          <w:szCs w:val="24"/>
        </w:rPr>
        <w:t>Definice působení a 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tematického zaměření CPV proto může být jenom velmi obecná a rámcová – tak, aby </w:t>
      </w:r>
      <w:r w:rsidR="008B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maximální míře 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umožnila konkrétní naplnění až díky </w:t>
      </w:r>
      <w:r w:rsidR="00410D78">
        <w:rPr>
          <w:rFonts w:ascii="Times New Roman" w:hAnsi="Times New Roman" w:cs="Times New Roman"/>
          <w:color w:val="000000" w:themeColor="text1"/>
          <w:sz w:val="24"/>
          <w:szCs w:val="24"/>
        </w:rPr>
        <w:t>projektů</w:t>
      </w:r>
      <w:r w:rsidR="00C87111">
        <w:rPr>
          <w:rFonts w:ascii="Times New Roman" w:hAnsi="Times New Roman" w:cs="Times New Roman"/>
          <w:color w:val="000000" w:themeColor="text1"/>
          <w:sz w:val="24"/>
          <w:szCs w:val="24"/>
        </w:rPr>
        <w:t>m, které zde budou realizovány.</w:t>
      </w:r>
    </w:p>
    <w:p w:rsidR="00375A81" w:rsidRPr="00375A81" w:rsidRDefault="00375A81" w:rsidP="00375A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Hlavním posláním CPV je přispět k posílení role fakulty a univerzity v oblasti vzdělávání ve Zlínském kraji, jakož i vytvořit vazby na regionální instituce působící v oblasti vzdělávání. CPV se </w:t>
      </w:r>
      <w:r w:rsidR="006D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přitom </w:t>
      </w: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zaměří </w:t>
      </w:r>
      <w:r w:rsidR="006D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rovněž </w:t>
      </w: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na spolupráci se středními, základními a mateřskými školami, stejně tak zdravotnickými za</w:t>
      </w:r>
      <w:r w:rsidR="008B7546">
        <w:rPr>
          <w:rFonts w:ascii="Times New Roman" w:hAnsi="Times New Roman" w:cs="Times New Roman"/>
          <w:color w:val="000000" w:themeColor="text1"/>
          <w:sz w:val="24"/>
          <w:szCs w:val="24"/>
        </w:rPr>
        <w:t>řízeními</w:t>
      </w: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337A" w:rsidRDefault="003A337A" w:rsidP="00AD12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337A" w:rsidRDefault="00192D2A" w:rsidP="00AD12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2. </w:t>
      </w:r>
      <w:r w:rsidR="003A33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PROČ JE ŽÁDOUCÍ REALIZOVAT ZAMÝŠLENÉ</w:t>
      </w:r>
      <w:r w:rsidR="003A337A" w:rsidRPr="003A33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– </w:t>
      </w:r>
      <w:r w:rsidR="003A33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ZÁMĚRY A JEJICH ZD</w:t>
      </w:r>
      <w:r w:rsidR="003A337A" w:rsidRPr="003A337A"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  <w:t>ů</w:t>
      </w:r>
      <w:r w:rsidR="003A33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VODNĚNÍ</w:t>
      </w:r>
    </w:p>
    <w:p w:rsidR="008236FB" w:rsidRDefault="00E44F1B" w:rsidP="008236F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Vytvoření CPV skýtá šanci na vznik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unikátní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pracoviště</w:t>
      </w:r>
      <w:r w:rsidR="006D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786">
        <w:rPr>
          <w:rFonts w:ascii="Times New Roman" w:hAnsi="Times New Roman" w:cs="Times New Roman"/>
          <w:color w:val="000000" w:themeColor="text1"/>
          <w:sz w:val="24"/>
          <w:szCs w:val="24"/>
        </w:rPr>
        <w:t>v rámci UTB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využívat </w:t>
      </w:r>
      <w:r w:rsidR="00F70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synergii </w:t>
      </w:r>
      <w:r w:rsidR="006D6786">
        <w:rPr>
          <w:rFonts w:ascii="Times New Roman" w:hAnsi="Times New Roman" w:cs="Times New Roman"/>
          <w:color w:val="000000" w:themeColor="text1"/>
          <w:sz w:val="24"/>
          <w:szCs w:val="24"/>
        </w:rPr>
        <w:t>činností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0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odborníků </w:t>
      </w:r>
      <w:r w:rsidR="003A337A">
        <w:rPr>
          <w:rFonts w:ascii="Times New Roman" w:hAnsi="Times New Roman" w:cs="Times New Roman"/>
          <w:color w:val="000000" w:themeColor="text1"/>
          <w:sz w:val="24"/>
          <w:szCs w:val="24"/>
        </w:rPr>
        <w:t>z jednotlivých ústavů</w:t>
      </w:r>
      <w:r w:rsidR="00F70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fakulty, a to při současném </w:t>
      </w:r>
      <w:r w:rsidR="006D6786">
        <w:rPr>
          <w:rFonts w:ascii="Times New Roman" w:hAnsi="Times New Roman" w:cs="Times New Roman"/>
          <w:color w:val="000000" w:themeColor="text1"/>
          <w:sz w:val="24"/>
          <w:szCs w:val="24"/>
        </w:rPr>
        <w:t>stavu</w:t>
      </w:r>
      <w:r w:rsidR="00F70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personální struktury</w:t>
      </w:r>
      <w:r w:rsidR="006B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A337A" w:rsidRDefault="00F70DCE" w:rsidP="00F70D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Existence CPV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pro rozv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oj FHS i UTB strategický význam.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Jeho vytvoření je</w:t>
      </w:r>
      <w:r w:rsidR="006B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součástí str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ategických dokumentů univerzity,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např. v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>znikající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 </w:t>
      </w:r>
      <w:r w:rsidRPr="00E71C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Plánu realizace Strategického záměru Univerzity Tomáše Bati ve Zlíně na období 21+ pro rok 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70DCE">
        <w:rPr>
          <w:rFonts w:ascii="Times New Roman" w:hAnsi="Times New Roman" w:cs="Times New Roman"/>
          <w:color w:val="000000" w:themeColor="text1"/>
          <w:sz w:val="24"/>
          <w:szCs w:val="24"/>
        </w:rPr>
        <w:t>Strategický cíl 4.2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s odkazem na </w:t>
      </w:r>
      <w:r w:rsidR="00B24821" w:rsidRPr="008735D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trategický záměr</w:t>
      </w:r>
      <w:r w:rsidR="00B24821" w:rsidRPr="008735D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Univerzity Tomáše Bati ve Zlíně 21+</w:t>
      </w:r>
      <w:r w:rsidR="00B24821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(Pilíř D: Třetí role UTB ve Zlíně).</w:t>
      </w:r>
    </w:p>
    <w:p w:rsidR="0020036D" w:rsidRDefault="00F70DCE" w:rsidP="002003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Působení CPV </w:t>
      </w:r>
      <w:r w:rsidR="00293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současně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zohledňuje potřeby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>zlínského regionu a j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nástrojem výkonu třetí role univerzity/fakulty v oblastech, ve kterých 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>se jiné fakulty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>realizovat nemohou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zároveň 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prostředkem 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>získávání finančních pro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>středků – v době, kdy fakulta s ohledem na</w:t>
      </w:r>
      <w:r w:rsidR="001C19E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>situaci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vysokém školství nedosáhne na vyšší příjmy z příspěvku na studenta, přičemž personální struktura FHS se neustále rozrůstá</w:t>
      </w:r>
      <w:r w:rsidR="002A0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osobní náklady </w:t>
      </w:r>
      <w:r w:rsidR="00A84E1D">
        <w:rPr>
          <w:rFonts w:ascii="Times New Roman" w:hAnsi="Times New Roman" w:cs="Times New Roman"/>
          <w:color w:val="000000" w:themeColor="text1"/>
          <w:sz w:val="24"/>
          <w:szCs w:val="24"/>
        </w:rPr>
        <w:t>se tudíž navyšují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337A" w:rsidRDefault="00192D2A" w:rsidP="00AD12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lastRenderedPageBreak/>
        <w:t xml:space="preserve">3. </w:t>
      </w:r>
      <w:r w:rsidR="008236F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ANALÝZA AKTUÁLNÍ SITUACE – POPIS SOUČASNÉHO STAVU ŘEŠENÍ AKTIVIT FHS SOUVISEJÍCÍCH S PŘEDPOKLÁDANÝMI AKTIVITAMI CPV</w:t>
      </w:r>
    </w:p>
    <w:p w:rsidR="007521ED" w:rsidRDefault="008236FB" w:rsidP="009F27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čl. 15 platného 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>Organizační</w:t>
      </w:r>
      <w:r w:rsidR="007521ED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řád</w:t>
      </w:r>
      <w:r w:rsidR="007521E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 Univerzity Tomáše Bati ve</w:t>
      </w:r>
      <w:r w:rsidR="007C4FE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posláním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ústavů 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>zabezpečovat výuku studentů v akreditovaných studijních programech,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>zabývat se tvůrčí činností,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seznamovat veřejnost s výsledky pedagogické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 činnosti a </w:t>
      </w:r>
      <w:r w:rsidRPr="006B5A04">
        <w:rPr>
          <w:rFonts w:ascii="Times New Roman" w:hAnsi="Times New Roman" w:cs="Times New Roman"/>
          <w:color w:val="000000" w:themeColor="text1"/>
          <w:sz w:val="24"/>
          <w:szCs w:val="24"/>
        </w:rPr>
        <w:t>zajišťovat další úkoly vyplývající z obecně závazných právních předpisů, pokynů, směrnic a příkazů děkana fakulty.</w:t>
      </w:r>
    </w:p>
    <w:p w:rsidR="008236FB" w:rsidRPr="009F27A0" w:rsidRDefault="007521ED" w:rsidP="009F27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Činnost CPV by tedy byla jedinečná a funkčně jednoznačně odlišená od ostatních organizačních jednotek fakulty, ústavů i center. 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>Centrum jazykového vzdělávání je garantem výuky jazyků na fakultě, ale i na univerzitě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 tedy v rámci UTB 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>taktéž unikátní poslání). Centrum výzkum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sice také 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zaměřuje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projektovou činnost, ale 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zcela 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>jiný typ</w:t>
      </w:r>
      <w:r w:rsidR="009F27A0" w:rsidRPr="009F2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A1F">
        <w:rPr>
          <w:rFonts w:ascii="Times New Roman" w:hAnsi="Times New Roman" w:cs="Times New Roman"/>
          <w:color w:val="000000" w:themeColor="text1"/>
          <w:sz w:val="24"/>
          <w:szCs w:val="24"/>
        </w:rPr>
        <w:t>projektů,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projekty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vědecké. V tom se odlišuje od CPV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které bude řešit projekty rozvojové a strategické. CPV se nebude zabývat problematikou metodologie, jak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tomu 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Centra výzkumu FHS</w:t>
      </w:r>
      <w:r w:rsidR="009F27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2D2A" w:rsidRDefault="007521ED" w:rsidP="008236F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Vycházíme také z potřeby vytvořit síť vazeb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regionální struktury</w:t>
      </w:r>
      <w:r w:rsidR="00597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nichž by profitovala nejenom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r w:rsidR="00597DD1">
        <w:rPr>
          <w:rFonts w:ascii="Times New Roman" w:hAnsi="Times New Roman" w:cs="Times New Roman"/>
          <w:color w:val="000000" w:themeColor="text1"/>
          <w:sz w:val="24"/>
          <w:szCs w:val="24"/>
        </w:rPr>
        <w:t>, ale i veřejnost, příp. dané instituce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 mnoha ohledech bychom kompenzovali deficit, který vznikl v minulosti. Např. Zlínský k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některých projektech 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>spolupracuje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>univerzitami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jiného kraje, což je </w:t>
      </w:r>
      <w:r w:rsidR="00152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fakultu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27328">
        <w:rPr>
          <w:rFonts w:ascii="Times New Roman" w:hAnsi="Times New Roman" w:cs="Times New Roman"/>
          <w:color w:val="000000" w:themeColor="text1"/>
          <w:sz w:val="24"/>
          <w:szCs w:val="24"/>
        </w:rPr>
        <w:t>ajisté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promarněná šance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0AAF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spolupráci</w:t>
      </w:r>
      <w:r w:rsidR="001C0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nás </w:t>
      </w:r>
      <w:r w:rsidR="00210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kraj </w:t>
      </w:r>
      <w:r w:rsidR="001C0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vybízí a přivítal </w:t>
      </w:r>
      <w:r w:rsidR="00210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1C0AAF">
        <w:rPr>
          <w:rFonts w:ascii="Times New Roman" w:hAnsi="Times New Roman" w:cs="Times New Roman"/>
          <w:color w:val="000000" w:themeColor="text1"/>
          <w:sz w:val="24"/>
          <w:szCs w:val="24"/>
        </w:rPr>
        <w:t>jednotku typu CPV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0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Absentující 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činnost </w:t>
      </w:r>
      <w:r w:rsidR="001C0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CPV 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>supl</w:t>
      </w:r>
      <w:r w:rsidR="001C0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ovalo 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>Oddělení strategického rozvoje UTB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>Z předaných a také získaných zkušeností plyne, že j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třeba pružně reagovat na projektové výzvy a mít připravený tým lidí, kteří se budou </w:t>
      </w:r>
      <w:r w:rsidR="00210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strategickým a rozvojovým 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>projektů</w:t>
      </w:r>
      <w:r w:rsidR="00210D5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věnovat.</w:t>
      </w:r>
    </w:p>
    <w:p w:rsidR="00E02B6F" w:rsidRDefault="005B0039" w:rsidP="002E1F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Vazby na regionální instituce skutečně 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>chybí, k</w:t>
      </w:r>
      <w:r w:rsidRP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upř. na bázi MAP (místní akční plán rozvoje vzdělávání) a MAS (místní akční skupiny) 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>jsme dosud neměli</w:t>
      </w:r>
      <w:r w:rsidRP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téměř žádné zastoupení. </w:t>
      </w:r>
      <w:r w:rsidR="00D85EB8">
        <w:rPr>
          <w:rFonts w:ascii="Times New Roman" w:hAnsi="Times New Roman" w:cs="Times New Roman"/>
          <w:color w:val="000000" w:themeColor="text1"/>
          <w:sz w:val="24"/>
          <w:szCs w:val="24"/>
        </w:rPr>
        <w:t>Přitom se jedná o</w:t>
      </w:r>
      <w:r w:rsidRP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entity, které u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>možňují zajímavý přístup ke strategickým dokumentům (jejich tvorbě), finančním</w:t>
      </w:r>
      <w:r w:rsidRP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zdrojům a informacím.</w:t>
      </w:r>
    </w:p>
    <w:p w:rsidR="002E1FBD" w:rsidRPr="002E1FBD" w:rsidRDefault="002E1FBD" w:rsidP="002E1F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6FB" w:rsidRPr="00024C95" w:rsidRDefault="00192D2A" w:rsidP="00CE1ECD">
      <w:pPr>
        <w:pStyle w:val="Normlnweb"/>
        <w:spacing w:before="12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833C0B" w:themeColor="accent2" w:themeShade="80"/>
        </w:rPr>
        <w:t xml:space="preserve">4. </w:t>
      </w:r>
      <w:r w:rsidR="008236FB" w:rsidRPr="008236FB">
        <w:rPr>
          <w:b/>
          <w:color w:val="833C0B" w:themeColor="accent2" w:themeShade="80"/>
        </w:rPr>
        <w:t>VÝCHODISKA PRO ČINNOST A STRUKTURU CPV – ZÁVĚRY Z POPISU AKTUÁLNÍ SITUACE, IMPLIKACE PRO ZÁMĚRY Z NICH PLYNOUCÍ, POTŘEBA ZMĚN AKTUÁLNÍHO STAVU, ROZ</w:t>
      </w:r>
      <w:r w:rsidR="009017FB">
        <w:rPr>
          <w:b/>
          <w:color w:val="833C0B" w:themeColor="accent2" w:themeShade="80"/>
        </w:rPr>
        <w:t>VÍJENÍ SOUČASNÝCH AKTIVIT</w:t>
      </w:r>
    </w:p>
    <w:p w:rsidR="0020036D" w:rsidRDefault="00F820A6" w:rsidP="001348C2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Ukázalo se, že j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třeba pružně reagovat na celospolečenský vývoj, taktéž na vývoj ve vysokoškolské oblasti a </w:t>
      </w:r>
      <w:r w:rsidR="001348C2">
        <w:rPr>
          <w:rFonts w:ascii="Times New Roman" w:hAnsi="Times New Roman" w:cs="Times New Roman"/>
          <w:color w:val="000000" w:themeColor="text1"/>
          <w:sz w:val="24"/>
          <w:szCs w:val="24"/>
        </w:rPr>
        <w:t>etablovat na fakultě jednotku, která s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bude tematicky pohybovat v rámci daném </w:t>
      </w:r>
      <w:r w:rsidR="0013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odborným 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zaměřením </w:t>
      </w:r>
      <w:r w:rsidR="001348C2">
        <w:rPr>
          <w:rFonts w:ascii="Times New Roman" w:hAnsi="Times New Roman" w:cs="Times New Roman"/>
          <w:color w:val="000000" w:themeColor="text1"/>
          <w:sz w:val="24"/>
          <w:szCs w:val="24"/>
        </w:rPr>
        <w:t>fakulty/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ústavů, ale jejím primárním posláním bude získávat a realizovat strategické a rozvojové projekty, čili to, co nepatří do </w:t>
      </w:r>
      <w:r w:rsidR="0013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prvoplánové 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>působnosti ústavů. Využívat p</w:t>
      </w:r>
      <w:r w:rsidR="001348C2">
        <w:rPr>
          <w:rFonts w:ascii="Times New Roman" w:hAnsi="Times New Roman" w:cs="Times New Roman"/>
          <w:color w:val="000000" w:themeColor="text1"/>
          <w:sz w:val="24"/>
          <w:szCs w:val="24"/>
        </w:rPr>
        <w:t>řitom bude personálních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odborných </w:t>
      </w:r>
      <w:r w:rsidR="00192D2A">
        <w:rPr>
          <w:rFonts w:ascii="Times New Roman" w:hAnsi="Times New Roman" w:cs="Times New Roman"/>
          <w:color w:val="000000" w:themeColor="text1"/>
          <w:sz w:val="24"/>
          <w:szCs w:val="24"/>
        </w:rPr>
        <w:t>zdrojů fakulty.</w:t>
      </w:r>
    </w:p>
    <w:p w:rsidR="0020036D" w:rsidRDefault="001348C2" w:rsidP="008236F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Opírá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 totiž o skutečnost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že FHS má k dispozici dostatečné odborné kapacity,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jejichž zaměření a aktivity lícují s potřebami regionu. J</w:t>
      </w:r>
      <w:r w:rsidR="0020036D">
        <w:rPr>
          <w:rFonts w:ascii="Times New Roman" w:hAnsi="Times New Roman" w:cs="Times New Roman"/>
          <w:color w:val="000000" w:themeColor="text1"/>
          <w:sz w:val="24"/>
          <w:szCs w:val="24"/>
        </w:rPr>
        <w:t>de jenom o to, s jakou mírou efektivity budou využity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20A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ude se </w:t>
      </w:r>
      <w:r w:rsidR="00F8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tedy 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>navazovat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to</w:t>
      </w:r>
      <w:r w:rsidR="006F58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</w:t>
      </w:r>
      <w:r w:rsidR="009C773D">
        <w:rPr>
          <w:rFonts w:ascii="Times New Roman" w:hAnsi="Times New Roman" w:cs="Times New Roman"/>
          <w:color w:val="000000" w:themeColor="text1"/>
          <w:sz w:val="24"/>
          <w:szCs w:val="24"/>
        </w:rPr>
        <w:t>už na fakultě funguje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nové bude intenzivní síťování. CPV bude </w:t>
      </w:r>
      <w:r w:rsidR="009C773D">
        <w:rPr>
          <w:rFonts w:ascii="Times New Roman" w:hAnsi="Times New Roman" w:cs="Times New Roman"/>
          <w:color w:val="000000" w:themeColor="text1"/>
          <w:sz w:val="24"/>
          <w:szCs w:val="24"/>
        </w:rPr>
        <w:t>disponovat komunikační strategií</w:t>
      </w:r>
      <w:r w:rsidR="006F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která </w:t>
      </w:r>
      <w:r w:rsidR="009C773D">
        <w:rPr>
          <w:rFonts w:ascii="Times New Roman" w:hAnsi="Times New Roman" w:cs="Times New Roman"/>
          <w:color w:val="000000" w:themeColor="text1"/>
          <w:sz w:val="24"/>
          <w:szCs w:val="24"/>
        </w:rPr>
        <w:t>zabrání v případné</w:t>
      </w:r>
      <w:r w:rsidR="006F58E7">
        <w:rPr>
          <w:rFonts w:ascii="Times New Roman" w:hAnsi="Times New Roman" w:cs="Times New Roman"/>
          <w:color w:val="000000" w:themeColor="text1"/>
          <w:sz w:val="24"/>
          <w:szCs w:val="24"/>
        </w:rPr>
        <w:t> duplicit</w:t>
      </w:r>
      <w:r w:rsidR="009C773D">
        <w:rPr>
          <w:rFonts w:ascii="Times New Roman" w:hAnsi="Times New Roman" w:cs="Times New Roman"/>
          <w:color w:val="000000" w:themeColor="text1"/>
          <w:sz w:val="24"/>
          <w:szCs w:val="24"/>
        </w:rPr>
        <w:t>ě řešení, popř.</w:t>
      </w:r>
      <w:r w:rsidR="006F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komunikačním problémům při </w:t>
      </w:r>
      <w:r w:rsidR="006F58E7">
        <w:rPr>
          <w:rFonts w:ascii="Times New Roman" w:hAnsi="Times New Roman" w:cs="Times New Roman"/>
          <w:color w:val="000000" w:themeColor="text1"/>
          <w:sz w:val="24"/>
          <w:szCs w:val="24"/>
        </w:rPr>
        <w:t>kontakt</w:t>
      </w:r>
      <w:r w:rsidR="009C773D">
        <w:rPr>
          <w:rFonts w:ascii="Times New Roman" w:hAnsi="Times New Roman" w:cs="Times New Roman"/>
          <w:color w:val="000000" w:themeColor="text1"/>
          <w:sz w:val="24"/>
          <w:szCs w:val="24"/>
        </w:rPr>
        <w:t>ech s externími subjekty</w:t>
      </w:r>
      <w:r w:rsidR="006F58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odborné stránce bude zajištěna kontrola a zpětná vazba díky procesům posuzování projektů odbornými grémii.</w:t>
      </w:r>
    </w:p>
    <w:p w:rsidR="002E1FBD" w:rsidRPr="00B02B36" w:rsidRDefault="00A5443C" w:rsidP="002E1F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Výčet konkrétních odborných témat a zaměření CPV je problematický. </w:t>
      </w:r>
      <w:r w:rsidR="00F820A6">
        <w:rPr>
          <w:rFonts w:ascii="Times New Roman" w:hAnsi="Times New Roman" w:cs="Times New Roman"/>
          <w:color w:val="000000" w:themeColor="text1"/>
          <w:sz w:val="24"/>
          <w:szCs w:val="24"/>
        </w:rPr>
        <w:t>Stejně tak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elze provést jednoduchou inventuru všech dosažených výsledků</w:t>
      </w:r>
      <w:r w:rsidR="00F8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příslušných oblastech na FHS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to je úkol pro celé týmy odborníků na dlouhý časový úsek.</w:t>
      </w:r>
      <w:r w:rsidR="00E4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2E1FBD" w:rsidRPr="005B73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Výroční zprávě o činnosti FHS UTB ve Zlíně za rok 2019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(kap. 4.1, s. 30) se deklarují mj. tyto oblasti tvůrčí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 činností, které</w:t>
      </w:r>
      <w:r w:rsidR="0065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vykazují afinitu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C27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zaměření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E1FBD" w:rsidRPr="00B0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E1FBD" w:rsidRPr="00ED014C" w:rsidRDefault="0097365D" w:rsidP="002E1FB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2E1FBD" w:rsidRPr="00ED014C">
        <w:rPr>
          <w:rFonts w:ascii="Times New Roman" w:hAnsi="Times New Roman" w:cs="Times New Roman"/>
          <w:color w:val="000000" w:themeColor="text1"/>
          <w:sz w:val="24"/>
          <w:szCs w:val="24"/>
        </w:rPr>
        <w:t>ariéry a motivace v neformálním vzdělávání dospělých</w:t>
      </w:r>
    </w:p>
    <w:p w:rsidR="002E1FBD" w:rsidRPr="00ED014C" w:rsidRDefault="0097365D" w:rsidP="002E1FB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E1FBD" w:rsidRPr="00ED014C">
        <w:rPr>
          <w:rFonts w:ascii="Times New Roman" w:hAnsi="Times New Roman" w:cs="Times New Roman"/>
          <w:color w:val="000000" w:themeColor="text1"/>
          <w:sz w:val="24"/>
          <w:szCs w:val="24"/>
        </w:rPr>
        <w:t>zdělávání jedinců se specifickými potřebami (nadání, tělesné postižení)</w:t>
      </w:r>
    </w:p>
    <w:p w:rsidR="002E1FBD" w:rsidRPr="00ED014C" w:rsidRDefault="0097365D" w:rsidP="002E1FB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E1FBD" w:rsidRPr="00ED014C">
        <w:rPr>
          <w:rFonts w:ascii="Times New Roman" w:hAnsi="Times New Roman" w:cs="Times New Roman"/>
          <w:color w:val="000000" w:themeColor="text1"/>
          <w:sz w:val="24"/>
          <w:szCs w:val="24"/>
        </w:rPr>
        <w:t>ociokulturní diverzita ve vzdělávání</w:t>
      </w:r>
    </w:p>
    <w:p w:rsidR="002E1FBD" w:rsidRPr="00ED014C" w:rsidRDefault="0097365D" w:rsidP="002E1FB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E1FBD">
        <w:rPr>
          <w:rFonts w:ascii="Times New Roman" w:hAnsi="Times New Roman" w:cs="Times New Roman"/>
          <w:color w:val="000000" w:themeColor="text1"/>
          <w:sz w:val="24"/>
          <w:szCs w:val="24"/>
        </w:rPr>
        <w:t>rofesionalizace učitelstv</w:t>
      </w:r>
      <w:r w:rsidR="002E1FBD" w:rsidRPr="00ED014C">
        <w:rPr>
          <w:rFonts w:ascii="Times New Roman" w:hAnsi="Times New Roman" w:cs="Times New Roman"/>
          <w:color w:val="000000" w:themeColor="text1"/>
          <w:sz w:val="24"/>
          <w:szCs w:val="24"/>
        </w:rPr>
        <w:t>í od mateřských škol až po univerzity</w:t>
      </w:r>
    </w:p>
    <w:p w:rsidR="002E1FBD" w:rsidRPr="00ED014C" w:rsidRDefault="0097365D" w:rsidP="002E1FB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E1FBD" w:rsidRPr="00ED014C">
        <w:rPr>
          <w:rFonts w:ascii="Times New Roman" w:hAnsi="Times New Roman" w:cs="Times New Roman"/>
          <w:color w:val="000000" w:themeColor="text1"/>
          <w:sz w:val="24"/>
          <w:szCs w:val="24"/>
        </w:rPr>
        <w:t>roměny dětství a dětí</w:t>
      </w:r>
    </w:p>
    <w:p w:rsidR="00A5443C" w:rsidRDefault="0097365D" w:rsidP="002E1FB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E1FBD" w:rsidRPr="00ED014C">
        <w:rPr>
          <w:rFonts w:ascii="Times New Roman" w:hAnsi="Times New Roman" w:cs="Times New Roman"/>
          <w:color w:val="000000" w:themeColor="text1"/>
          <w:sz w:val="24"/>
          <w:szCs w:val="24"/>
        </w:rPr>
        <w:t>roblematika specializované ošetřovatelské péče</w:t>
      </w:r>
    </w:p>
    <w:p w:rsidR="002E1FBD" w:rsidRPr="00A5443C" w:rsidRDefault="0097365D" w:rsidP="002E1FB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E1FBD" w:rsidRPr="00A5443C">
        <w:rPr>
          <w:rFonts w:ascii="Times New Roman" w:hAnsi="Times New Roman" w:cs="Times New Roman"/>
          <w:color w:val="000000" w:themeColor="text1"/>
          <w:sz w:val="24"/>
          <w:szCs w:val="24"/>
        </w:rPr>
        <w:t>ociální determinanty zdraví</w:t>
      </w:r>
    </w:p>
    <w:p w:rsidR="00340A97" w:rsidRDefault="00C27145" w:rsidP="00E436D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straně dalšího aktéra nalézáme obdobné cíle. </w:t>
      </w:r>
      <w:r w:rsidR="00E436D8" w:rsidRPr="00C271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Dlouhodobý záměr vzdělávání a rozvoje vzdělávací soustavy Zlínského kraje 2020</w:t>
      </w:r>
      <w:r w:rsidR="00E436D8" w:rsidRPr="00E4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E4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36D8" w:rsidRPr="00E436D8">
        <w:rPr>
          <w:rFonts w:ascii="Times New Roman" w:hAnsi="Times New Roman" w:cs="Times New Roman"/>
          <w:color w:val="000000" w:themeColor="text1"/>
          <w:sz w:val="24"/>
          <w:szCs w:val="24"/>
        </w:rPr>
        <w:t>hlavním strategickým dokumentem kraje v oblasti vzdělávání do schválení následujícího</w:t>
      </w:r>
      <w:r w:rsidR="00E4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36D8" w:rsidRPr="00E4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 ZK v </w:t>
      </w:r>
      <w:r w:rsidR="00E436D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 2024 </w:t>
      </w:r>
      <w:r w:rsidR="00340A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8" w:history="1">
        <w:r w:rsidR="00340A97" w:rsidRPr="00704DA8">
          <w:rPr>
            <w:rStyle w:val="Hypertextovodkaz"/>
            <w:rFonts w:ascii="Times New Roman" w:hAnsi="Times New Roman" w:cs="Times New Roman"/>
          </w:rPr>
          <w:t>https://www.kr-zlinsky.cz/strategicke-a-koncepcni-dokumenty-cl-47.html</w:t>
        </w:r>
      </w:hyperlink>
      <w:r w:rsidR="0034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</w:p>
    <w:p w:rsidR="00340A97" w:rsidRPr="00340A97" w:rsidRDefault="00340A97" w:rsidP="000E33FB">
      <w:pPr>
        <w:spacing w:line="36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A97">
        <w:rPr>
          <w:rFonts w:ascii="Times New Roman" w:hAnsi="Times New Roman" w:cs="Times New Roman"/>
        </w:rPr>
        <w:t>Zlínský kraj bude ve svém území pokračovat v rozsáhlé spolupráci sledující zvyšování kvality vzdělávání, a to zejména prostřednictvím projektů KAP a MAP a navazujících projektů akčního plánování. V tomto směru je možné již sledovat zefektivnění komunikace a koordinaci přístupů k řešení klíčových témat, což přináší lépe zacílený rozvoj pedagogických pracovníků a tím i zkvalitňování vlastního vzdělávání.</w:t>
      </w:r>
    </w:p>
    <w:p w:rsidR="00340A97" w:rsidRDefault="00340A97" w:rsidP="00340A9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tomto dokumentu se </w:t>
      </w:r>
      <w:r w:rsidR="000E3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kapitole 2.6 pojednává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mj. problematika</w:t>
      </w:r>
      <w:r w:rsidR="000E3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B8B">
        <w:rPr>
          <w:rFonts w:ascii="Times New Roman" w:hAnsi="Times New Roman" w:cs="Times New Roman"/>
          <w:color w:val="000000" w:themeColor="text1"/>
          <w:sz w:val="24"/>
          <w:szCs w:val="24"/>
        </w:rPr>
        <w:t>nadaných</w:t>
      </w:r>
      <w:r w:rsidR="00277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3FB">
        <w:rPr>
          <w:rFonts w:ascii="Times New Roman" w:hAnsi="Times New Roman" w:cs="Times New Roman"/>
          <w:color w:val="000000" w:themeColor="text1"/>
          <w:sz w:val="24"/>
          <w:szCs w:val="24"/>
        </w:rPr>
        <w:t>dětí, žáků a</w:t>
      </w:r>
      <w:r w:rsidR="00277B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E33FB">
        <w:rPr>
          <w:rFonts w:ascii="Times New Roman" w:hAnsi="Times New Roman" w:cs="Times New Roman"/>
          <w:color w:val="000000" w:themeColor="text1"/>
          <w:sz w:val="24"/>
          <w:szCs w:val="24"/>
        </w:rPr>
        <w:t>studentů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E3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kapitole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 </w:t>
      </w:r>
      <w:r w:rsidR="000E33FB">
        <w:rPr>
          <w:rFonts w:ascii="Times New Roman" w:hAnsi="Times New Roman" w:cs="Times New Roman"/>
          <w:color w:val="000000" w:themeColor="text1"/>
          <w:sz w:val="24"/>
          <w:szCs w:val="24"/>
        </w:rPr>
        <w:t>jde o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ledování a průběžné vyhodnocování kvality počátečního vzdělávání</w:t>
      </w:r>
      <w:r w:rsidR="000E3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tímto tematickým zaměřením:</w:t>
      </w:r>
    </w:p>
    <w:p w:rsidR="00340A97" w:rsidRPr="00340A97" w:rsidRDefault="00A7584A" w:rsidP="00340A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40A97" w:rsidRPr="00340A97">
        <w:rPr>
          <w:rFonts w:ascii="Times New Roman" w:hAnsi="Times New Roman" w:cs="Times New Roman"/>
          <w:color w:val="000000" w:themeColor="text1"/>
          <w:sz w:val="24"/>
          <w:szCs w:val="24"/>
        </w:rPr>
        <w:t>ozvoj škol jako center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dalšího profesního vzdělávání</w:t>
      </w:r>
    </w:p>
    <w:p w:rsidR="00E436D8" w:rsidRDefault="00A7584A" w:rsidP="00340A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436D8" w:rsidRPr="00340A97">
        <w:rPr>
          <w:rFonts w:ascii="Times New Roman" w:hAnsi="Times New Roman" w:cs="Times New Roman"/>
          <w:color w:val="000000" w:themeColor="text1"/>
          <w:sz w:val="24"/>
          <w:szCs w:val="24"/>
        </w:rPr>
        <w:t>odpora odborného vzdělávání včetně spolupráce škol a zaměstnavatelů</w:t>
      </w:r>
    </w:p>
    <w:p w:rsidR="00340A97" w:rsidRDefault="00A7584A" w:rsidP="00340A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40A97" w:rsidRPr="00340A97">
        <w:rPr>
          <w:rFonts w:ascii="Times New Roman" w:hAnsi="Times New Roman" w:cs="Times New Roman"/>
          <w:color w:val="000000" w:themeColor="text1"/>
          <w:sz w:val="24"/>
          <w:szCs w:val="24"/>
        </w:rPr>
        <w:t>odpora inkluze</w:t>
      </w:r>
    </w:p>
    <w:p w:rsidR="00340A97" w:rsidRDefault="00A7584A" w:rsidP="00340A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436D8">
        <w:rPr>
          <w:rFonts w:ascii="Times New Roman" w:hAnsi="Times New Roman" w:cs="Times New Roman"/>
          <w:color w:val="000000" w:themeColor="text1"/>
          <w:sz w:val="24"/>
          <w:szCs w:val="24"/>
        </w:rPr>
        <w:t>ozvoj výuky cizích jazyků</w:t>
      </w:r>
    </w:p>
    <w:p w:rsidR="00E436D8" w:rsidRPr="00E436D8" w:rsidRDefault="00E436D8" w:rsidP="00E436D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kapitole 2.8 jsou pojednány školské poradenské služby (přímá návaznost na projekt IKAP II.)</w:t>
      </w:r>
    </w:p>
    <w:p w:rsidR="00375A81" w:rsidRPr="00F95819" w:rsidRDefault="00F95819" w:rsidP="00375A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819">
        <w:rPr>
          <w:rFonts w:ascii="Times New Roman" w:hAnsi="Times New Roman" w:cs="Times New Roman"/>
          <w:color w:val="000000" w:themeColor="text1"/>
          <w:sz w:val="24"/>
          <w:szCs w:val="24"/>
        </w:rPr>
        <w:t>Na základě výše uvedeného lze č</w:t>
      </w:r>
      <w:r w:rsidR="00375A81" w:rsidRPr="00F95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innosti </w:t>
      </w:r>
      <w:r w:rsidRPr="00F95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CPV </w:t>
      </w:r>
      <w:r w:rsidR="00375A81" w:rsidRPr="00F95819">
        <w:rPr>
          <w:rFonts w:ascii="Times New Roman" w:hAnsi="Times New Roman" w:cs="Times New Roman"/>
          <w:color w:val="000000" w:themeColor="text1"/>
          <w:sz w:val="24"/>
          <w:szCs w:val="24"/>
        </w:rPr>
        <w:t>rozdělit do dvou skupin:</w:t>
      </w:r>
    </w:p>
    <w:p w:rsidR="00375A81" w:rsidRDefault="00375A81" w:rsidP="00375A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819">
        <w:rPr>
          <w:rFonts w:ascii="Times New Roman" w:hAnsi="Times New Roman" w:cs="Times New Roman"/>
          <w:color w:val="000000" w:themeColor="text1"/>
          <w:sz w:val="24"/>
          <w:szCs w:val="24"/>
        </w:rPr>
        <w:t>a) strategické a rozvojové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 hlediska naplňování třetí role univerzity/fakulty a realizace potřeb fakulty)</w:t>
      </w:r>
    </w:p>
    <w:p w:rsidR="00375A81" w:rsidRPr="00375A81" w:rsidRDefault="00375A81" w:rsidP="00375A81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spolupráce se subjekty na regionální úrovni – školy, instituce volného času, neziskové organizace, Česká školní inspekce Zlín, Národní pedagogický institut České republiky (NPI), Zlínský kraj – školský odbor, zaměstnavatelé atd.</w:t>
      </w:r>
    </w:p>
    <w:p w:rsidR="00375A81" w:rsidRPr="00375A81" w:rsidRDefault="00375A81" w:rsidP="00375A81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zapojení do regionálních činností v oblasti vzdělávání na bázi MAP (místní akční plán rozvoje vzdělávání) a MAS (místní akční skupiny)</w:t>
      </w:r>
    </w:p>
    <w:p w:rsidR="00375A81" w:rsidRPr="00375A81" w:rsidRDefault="00375A81" w:rsidP="005E31D3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síťování – zapojování do partnerských sítí</w:t>
      </w:r>
    </w:p>
    <w:p w:rsidR="00375A81" w:rsidRPr="00375A81" w:rsidRDefault="00375A81" w:rsidP="00375A81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soustředění regionálních odborných aktivit (souvisejících s rozvojem vzdělávání a</w:t>
      </w:r>
      <w:r w:rsidR="00BA0AD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zaváděných do regionálních úrovní z národní úrovně) na FHS jako odborném garantovi</w:t>
      </w:r>
    </w:p>
    <w:p w:rsidR="00375A81" w:rsidRDefault="00375A81" w:rsidP="00375A81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příprava a realizace projektů</w:t>
      </w:r>
    </w:p>
    <w:p w:rsidR="00375A81" w:rsidRPr="00375A81" w:rsidRDefault="00375A81" w:rsidP="005E31D3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základní a aplikovaný výzkum v oblasti vzdělávání</w:t>
      </w:r>
      <w:r w:rsidR="005E3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95819">
        <w:rPr>
          <w:rFonts w:ascii="Times New Roman" w:hAnsi="Times New Roman" w:cs="Times New Roman"/>
          <w:color w:val="000000" w:themeColor="text1"/>
          <w:sz w:val="24"/>
          <w:szCs w:val="24"/>
        </w:rPr>
        <w:t>uplatnění</w:t>
      </w:r>
      <w:r w:rsidR="005E31D3" w:rsidRPr="005E3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přístupů interdisciplinárních i komparativních)</w:t>
      </w:r>
    </w:p>
    <w:p w:rsidR="00375A81" w:rsidRDefault="00375A81" w:rsidP="00375A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A81" w:rsidRDefault="00375A81" w:rsidP="00375A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 odborné (dle zaměření pracovníků fakulty</w:t>
      </w:r>
      <w:r w:rsidR="00F95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 základě potřeb externích subjektů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75A81" w:rsidRPr="00375A81" w:rsidRDefault="00375A81" w:rsidP="00375A8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vzdělávání pedagogických pracovníků, odborníků v oblasti pomáhajících profesí a</w:t>
      </w:r>
      <w:r w:rsidR="008E180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zdravotnických pracovníků</w:t>
      </w:r>
    </w:p>
    <w:p w:rsidR="00375A81" w:rsidRPr="00375A81" w:rsidRDefault="00375A81" w:rsidP="00375A8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rozvoj dětí, žáků a studentů</w:t>
      </w:r>
    </w:p>
    <w:p w:rsidR="00375A81" w:rsidRPr="00E02B6F" w:rsidRDefault="00375A81" w:rsidP="00375A8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A81">
        <w:rPr>
          <w:rFonts w:ascii="Times New Roman" w:hAnsi="Times New Roman" w:cs="Times New Roman"/>
          <w:color w:val="000000" w:themeColor="text1"/>
          <w:sz w:val="24"/>
          <w:szCs w:val="24"/>
        </w:rPr>
        <w:t>podpora nadaných a mimořádně nadaných žáků</w:t>
      </w:r>
    </w:p>
    <w:p w:rsidR="0020036D" w:rsidRPr="005B0039" w:rsidRDefault="005B0039" w:rsidP="008236FB">
      <w:pPr>
        <w:spacing w:line="360" w:lineRule="auto"/>
        <w:jc w:val="both"/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lastRenderedPageBreak/>
        <w:t xml:space="preserve">5. </w:t>
      </w:r>
      <w:r w:rsidRPr="005B0039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JAK BUDE DOSAHOVÁNO PŘEDPOKLÁDANÝCH ZÁMĚRŮ </w:t>
      </w:r>
      <w:r w:rsidR="00935730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–</w:t>
      </w:r>
      <w:r w:rsidRPr="005B0039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NÁVRHY ŘEŠENÍ AKTUÁLNÍ SITUACE PRO DOSAŽENÍ ZÁMĚRŮ (NAPŘ. NAVRHOVANÉ AKTI</w:t>
      </w: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VITY CPV, ORGANIZAČNÍ STRUKTURA</w:t>
      </w:r>
      <w:r w:rsidR="007C131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)</w:t>
      </w:r>
      <w:r w:rsidRPr="005B0039"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  <w:t xml:space="preserve"> </w:t>
      </w:r>
    </w:p>
    <w:p w:rsidR="00192D2A" w:rsidRDefault="00375A81" w:rsidP="008236F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Základní</w:t>
      </w:r>
      <w:r w:rsid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 realizace záměrů </w:t>
      </w:r>
      <w:r w:rsidR="00B24821">
        <w:rPr>
          <w:rFonts w:ascii="Times New Roman" w:hAnsi="Times New Roman" w:cs="Times New Roman"/>
          <w:color w:val="000000" w:themeColor="text1"/>
          <w:sz w:val="24"/>
          <w:szCs w:val="24"/>
        </w:rPr>
        <w:t>CPV bude projektová</w:t>
      </w:r>
      <w:r w:rsid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Tomu odpovídá </w:t>
      </w:r>
      <w:r w:rsidR="00B24821">
        <w:rPr>
          <w:rFonts w:ascii="Times New Roman" w:hAnsi="Times New Roman" w:cs="Times New Roman"/>
          <w:color w:val="000000" w:themeColor="text1"/>
          <w:sz w:val="24"/>
          <w:szCs w:val="24"/>
        </w:rPr>
        <w:t>flexibilní</w:t>
      </w:r>
      <w:r w:rsid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struktura.</w:t>
      </w:r>
    </w:p>
    <w:p w:rsidR="00B24821" w:rsidRDefault="00B24821" w:rsidP="00B248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bude fungovat jako organizační jednotka FHS a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projektové centrum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Pozici ředitele bude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zastávat děkan FHS, který bude vystupovat a jednat jménem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komplexně řídit činnost pracoviště. Odpovídat bude především za personální řízení, finanční hospodaření a hospodaření se svěřenými prostředky a majetkem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posledně jmenované činnosti v součinnosti s tajemníkem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FHS).</w:t>
      </w:r>
    </w:p>
    <w:p w:rsidR="00B24821" w:rsidRPr="00B34FBD" w:rsidRDefault="00B24821" w:rsidP="00B248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každý projekt realizovaný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zodpovědný jeho hlavní řešitel – v souladu s projektovou dokumentací. Společně pro všechny projekty bude fungovat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oordinátor síťování a komunikace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, který bude působit za FHS v regionálních odborný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grémiích, komisích, pracovních skupinách a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platformách řešících problematiku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za účelem síťování a prezentace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. Přípravu nových projektů a projektových týmů bude koordinovat děkan.</w:t>
      </w:r>
    </w:p>
    <w:p w:rsidR="00B24821" w:rsidRDefault="00B24821" w:rsidP="00B248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Stávající pracovníci fakulty budou na CPV naváděni na konkrétní část úvazku</w:t>
      </w:r>
      <w:r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dle získaných projektů. Pokud by specifičnost činnosti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rámci projektu vyžadovala přijetí</w:t>
      </w:r>
      <w:r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nového pracovníka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pracovního poměru</w:t>
      </w:r>
      <w:r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 učiněno </w:t>
      </w:r>
      <w:r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na dobu určitou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 to</w:t>
      </w:r>
      <w:r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dobu jeho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předpokládaného zapojení do </w:t>
      </w:r>
      <w:r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 základě možnosti financovat jeho pracovní pozici z daného projektu</w:t>
      </w:r>
      <w:r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Finanční prostředky fakulty nebudou na osobní náklady spojené s činností CPV použity. </w:t>
      </w:r>
    </w:p>
    <w:p w:rsidR="00B24821" w:rsidRDefault="00B24821" w:rsidP="00B248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edení fakulty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počítá 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udržitelností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 návazností na výsledky jeho působení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skončení podpory ze zdrojů Fondu strategického 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zvoje UTB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roce 2022, a sice z dalších projektových zdrojů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0265" w:rsidRDefault="007C131A" w:rsidP="007C13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současnosti </w:t>
      </w:r>
      <w:r w:rsidR="00CA3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9955F5">
        <w:rPr>
          <w:rFonts w:ascii="Times New Roman" w:hAnsi="Times New Roman" w:cs="Times New Roman"/>
          <w:color w:val="000000" w:themeColor="text1"/>
          <w:sz w:val="24"/>
          <w:szCs w:val="24"/>
        </w:rPr>
        <w:t>na CPV</w:t>
      </w:r>
      <w:r w:rsidR="009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realizová</w:t>
      </w:r>
      <w:r w:rsidR="009955F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jeden projekt: „</w:t>
      </w:r>
      <w:r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Příprava a fungování Centra podpory vzdělávání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(Fond strategického rozvoje UTB, ř</w:t>
      </w:r>
      <w:r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ešitel: Mgr. Libor Marek, Ph.D.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</w:t>
      </w:r>
      <w:r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oba řešení: 1. 9. 2020 – 31. 12.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řešení tohoto projektu se podílejí: </w:t>
      </w:r>
      <w:r w:rsidR="00560265"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>doc. Mgr. Jakub Hladík, Ph.D.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6684E" w:rsidRPr="0046684E">
        <w:rPr>
          <w:rFonts w:ascii="Times New Roman" w:hAnsi="Times New Roman" w:cs="Times New Roman"/>
          <w:color w:val="000000" w:themeColor="text1"/>
          <w:sz w:val="24"/>
          <w:szCs w:val="24"/>
        </w:rPr>
        <w:t>Mgr. Karla Hrbáčková, Ph.D.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6684E" w:rsidRPr="0046684E">
        <w:rPr>
          <w:rFonts w:ascii="Times New Roman" w:hAnsi="Times New Roman" w:cs="Times New Roman"/>
          <w:color w:val="000000" w:themeColor="text1"/>
          <w:sz w:val="24"/>
          <w:szCs w:val="24"/>
        </w:rPr>
        <w:t>Mgr. Magdalena Hanková, Ph.D.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6684E" w:rsidRPr="0046684E">
        <w:rPr>
          <w:rFonts w:ascii="Times New Roman" w:hAnsi="Times New Roman" w:cs="Times New Roman"/>
          <w:color w:val="000000" w:themeColor="text1"/>
          <w:sz w:val="24"/>
          <w:szCs w:val="24"/>
        </w:rPr>
        <w:t>Mgr. Jitka Vaculíková, Ph.D.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6684E" w:rsidRPr="0046684E">
        <w:rPr>
          <w:rFonts w:ascii="Times New Roman" w:hAnsi="Times New Roman" w:cs="Times New Roman"/>
          <w:color w:val="000000" w:themeColor="text1"/>
          <w:sz w:val="24"/>
          <w:szCs w:val="24"/>
        </w:rPr>
        <w:t>Mgr. Eva Klimecká, Ph.D.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6684E" w:rsidRPr="0046684E">
        <w:rPr>
          <w:rFonts w:ascii="Times New Roman" w:hAnsi="Times New Roman" w:cs="Times New Roman"/>
          <w:color w:val="000000" w:themeColor="text1"/>
          <w:sz w:val="24"/>
          <w:szCs w:val="24"/>
        </w:rPr>
        <w:t>Mgr. Lucie Blaštíková, Ph.D.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0265"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>PhDr. Mgr. Petr Snopek, PhD. MBA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0265"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PhDr. Michaela Schneider, Ph.D.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0265"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>PhDr. Bc. Barbora Plisková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Mgr. </w:t>
      </w:r>
      <w:r w:rsidR="00560265"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>Michal Navrátil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Ovšem tato personální struktura se v průběhu může </w:t>
      </w:r>
      <w:r w:rsidR="0046684E">
        <w:rPr>
          <w:rFonts w:ascii="Times New Roman" w:hAnsi="Times New Roman" w:cs="Times New Roman"/>
          <w:color w:val="000000" w:themeColor="text1"/>
          <w:sz w:val="24"/>
          <w:szCs w:val="24"/>
        </w:rPr>
        <w:t>proměňovat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podobně jako u jiných projektů. </w:t>
      </w:r>
    </w:p>
    <w:p w:rsidR="007C131A" w:rsidRDefault="00CA34CF" w:rsidP="007C13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spolupráci s Oddělením strategického rozvoje UTB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k realizaci připravován 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>projekt OP VVV „</w:t>
      </w:r>
      <w:r w:rsidR="007C131A"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Implementace Krajského akčního plánu rozvoje vzdělávání pro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31A"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území Zlínského kraje II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>“ (</w:t>
      </w:r>
      <w:r w:rsidR="007C131A"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KA 4 Rovné příležitosti ve vzdělávání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31A"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KA 4.1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31A"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Podpora nadaných a mimořádně nadaných žáků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31A"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KA 4.2 Využití šachů k podpoře rovných příležitostí ve vzdělávání</w:t>
      </w:r>
      <w:r w:rsidR="006233AE">
        <w:rPr>
          <w:rFonts w:ascii="Times New Roman" w:hAnsi="Times New Roman" w:cs="Times New Roman"/>
          <w:color w:val="000000" w:themeColor="text1"/>
          <w:sz w:val="24"/>
          <w:szCs w:val="24"/>
        </w:rPr>
        <w:t>; d</w:t>
      </w:r>
      <w:r w:rsidR="006233AE" w:rsidRPr="007C131A">
        <w:rPr>
          <w:rFonts w:ascii="Times New Roman" w:hAnsi="Times New Roman" w:cs="Times New Roman"/>
          <w:color w:val="000000" w:themeColor="text1"/>
          <w:sz w:val="24"/>
          <w:szCs w:val="24"/>
        </w:rPr>
        <w:t>oba ř</w:t>
      </w:r>
      <w:r w:rsidR="006233AE">
        <w:rPr>
          <w:rFonts w:ascii="Times New Roman" w:hAnsi="Times New Roman" w:cs="Times New Roman"/>
          <w:color w:val="000000" w:themeColor="text1"/>
          <w:sz w:val="24"/>
          <w:szCs w:val="24"/>
        </w:rPr>
        <w:t>ešení: 2021– 2024</w:t>
      </w:r>
      <w:r w:rsidR="007C13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602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2E02" w:rsidRDefault="00562E02" w:rsidP="005B0039">
      <w:pPr>
        <w:spacing w:line="36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5B0039" w:rsidRDefault="005B0039" w:rsidP="005B0039">
      <w:pPr>
        <w:spacing w:line="360" w:lineRule="auto"/>
        <w:jc w:val="both"/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6. </w:t>
      </w:r>
      <w:r w:rsidRPr="005B0039"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  <w:t>realizace návrhů řešení včetně personálního obsaz</w:t>
      </w:r>
      <w:r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  <w:t>ení a hodnocení její úspěšnosti</w:t>
      </w:r>
    </w:p>
    <w:p w:rsidR="005B0039" w:rsidRDefault="004709C5" w:rsidP="008236F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Stěžejním</w:t>
      </w:r>
      <w:r w:rsidR="005B0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měřítkem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kvality vykonávaných činností CPV </w:t>
      </w:r>
      <w:r w:rsidR="005B0039">
        <w:rPr>
          <w:rFonts w:ascii="Times New Roman" w:hAnsi="Times New Roman" w:cs="Times New Roman"/>
          <w:color w:val="000000" w:themeColor="text1"/>
          <w:sz w:val="24"/>
          <w:szCs w:val="24"/>
        </w:rPr>
        <w:t>bude míra úspěšnosti v získávání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B0039">
        <w:rPr>
          <w:rFonts w:ascii="Times New Roman" w:hAnsi="Times New Roman" w:cs="Times New Roman"/>
          <w:color w:val="000000" w:themeColor="text1"/>
          <w:sz w:val="24"/>
          <w:szCs w:val="24"/>
        </w:rPr>
        <w:t>řešení projektů. Obecnější hodnocení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muset zohlednit případný úspěch CPV při zkvalitnění </w:t>
      </w:r>
      <w:r w:rsidR="005B0039">
        <w:rPr>
          <w:rFonts w:ascii="Times New Roman" w:hAnsi="Times New Roman" w:cs="Times New Roman"/>
          <w:color w:val="000000" w:themeColor="text1"/>
          <w:sz w:val="24"/>
          <w:szCs w:val="24"/>
        </w:rPr>
        <w:t>vzdělávacích procesů v regionu.</w:t>
      </w:r>
    </w:p>
    <w:p w:rsidR="00781291" w:rsidRDefault="00560265" w:rsidP="007812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Nelze s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pecifikovat </w:t>
      </w:r>
      <w:r w:rsidR="004709C5">
        <w:rPr>
          <w:rFonts w:ascii="Times New Roman" w:hAnsi="Times New Roman" w:cs="Times New Roman"/>
          <w:color w:val="000000" w:themeColor="text1"/>
          <w:sz w:val="24"/>
          <w:szCs w:val="24"/>
        </w:rPr>
        <w:t>úvazky konkrétních pracovníků či přímo výši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mzdových nákladů </w:t>
      </w:r>
      <w:r w:rsidR="004709C5">
        <w:rPr>
          <w:rFonts w:ascii="Times New Roman" w:hAnsi="Times New Roman" w:cs="Times New Roman"/>
          <w:color w:val="000000" w:themeColor="text1"/>
          <w:sz w:val="24"/>
          <w:szCs w:val="24"/>
        </w:rPr>
        <w:t>ve vztahu k projektům realizovaným na CPV, neboť se jedná o osobní údaje. Navíc: v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současné době není na CPV kmenově naveden žádný pracovník. To znamená, že mzdové náklady na fungování CPV jsou aktuálně 0,-</w:t>
      </w:r>
      <w:r w:rsidR="00582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Kč. Mzdové náklady spojené s CPV do období 12/2022 se předpokládají 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ve výši 0,- Kč. Od 1/2023 se neuvažuje o vytvoření nových pracovních pozic pro CPV. </w:t>
      </w:r>
      <w:r w:rsidR="002A1310">
        <w:rPr>
          <w:rFonts w:ascii="Times New Roman" w:hAnsi="Times New Roman" w:cs="Times New Roman"/>
          <w:color w:val="000000" w:themeColor="text1"/>
          <w:sz w:val="24"/>
          <w:szCs w:val="24"/>
        </w:rPr>
        <w:t>V úvahu připadá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>, že by</w:t>
      </w:r>
      <w:r w:rsidR="00582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někteří interní zaměstnanci (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již </w:t>
      </w:r>
      <w:r w:rsidR="00582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pracovními smlouvami) přešli pod CPV buď celým, ale spíše jen částečným úvazkem. Na základě této strategie nedojde k navýšení mzdových nákladů fakulty. Dojde pouze k internímu přesunu a mzdové náklady zůstanou ve stejné výši. Toto vše </w:t>
      </w:r>
      <w:r w:rsidR="004709C5">
        <w:rPr>
          <w:rFonts w:ascii="Times New Roman" w:hAnsi="Times New Roman" w:cs="Times New Roman"/>
          <w:color w:val="000000" w:themeColor="text1"/>
          <w:sz w:val="24"/>
          <w:szCs w:val="24"/>
        </w:rPr>
        <w:t>platí</w:t>
      </w:r>
      <w:r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předpokladu, že se nepodaří získat další dotační tituly. V případě získání nových dotačních titulů budou mzdy a aktivity financovány jako standardní projekt.</w:t>
      </w:r>
      <w:r w:rsidR="0047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9C5"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A13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709C5" w:rsidRPr="00560265">
        <w:rPr>
          <w:rFonts w:ascii="Times New Roman" w:hAnsi="Times New Roman" w:cs="Times New Roman"/>
          <w:color w:val="000000" w:themeColor="text1"/>
          <w:sz w:val="24"/>
          <w:szCs w:val="24"/>
        </w:rPr>
        <w:t>současné chvíli jsou veškeré mzdové náklady CPV hrazeny z projektových zdrojů až do 12/2022.</w:t>
      </w:r>
    </w:p>
    <w:p w:rsidR="003138FE" w:rsidRPr="00E02B6F" w:rsidRDefault="003138FE" w:rsidP="003138F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2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HARMONOGRAM D</w:t>
      </w:r>
      <w:r w:rsidRPr="00E02B6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ů</w:t>
      </w:r>
      <w:r w:rsidRPr="00E02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LEŽITÝCH KROK</w:t>
      </w:r>
      <w:r w:rsidRPr="00E02B6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ů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řízení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CPV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(září 2020</w:t>
      </w:r>
      <w:r w:rsidR="00562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2E02">
        <w:rPr>
          <w:rFonts w:ascii="Times New Roman" w:hAnsi="Times New Roman" w:cs="Times New Roman"/>
          <w:color w:val="000000" w:themeColor="text1"/>
          <w:sz w:val="24"/>
          <w:szCs w:val="24"/>
        </w:rPr>
        <w:t>CPV bude mít k dispozici místnost</w:t>
      </w:r>
      <w:r w:rsidR="00562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U18/302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pracování koncepce rozvoje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CPV (září 2020, děkan předkládá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FHS)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pracování komunikační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strategie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leden 2021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apojování do struktur ovlivňujících vzdělávání na mís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tní a regionální úrovni</w:t>
      </w:r>
      <w:r w:rsidR="00562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(trvale)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ealizace klíčových aktivit projektu FSR (2020-2022, děkan)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ealizace klíčových aktivit projektu IKAP II (od 1. poloviny roku 2021, hlavní řešitel)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růběžné zprávy,</w:t>
      </w:r>
      <w:r w:rsidR="00562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závěrečná zpráva projektů (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hlavní řešitelé)</w:t>
      </w:r>
    </w:p>
    <w:p w:rsidR="003138FE" w:rsidRPr="00D65742" w:rsidRDefault="003138FE" w:rsidP="003138FE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pracování studie udržitelnosti (2021, děkan)</w:t>
      </w:r>
    </w:p>
    <w:p w:rsidR="003138FE" w:rsidRPr="00562E02" w:rsidRDefault="003138FE" w:rsidP="00562E02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řípravy strategických rozvojových projektů centra</w:t>
      </w:r>
      <w:bookmarkStart w:id="0" w:name="_GoBack"/>
      <w:bookmarkEnd w:id="0"/>
    </w:p>
    <w:sectPr w:rsidR="003138FE" w:rsidRPr="00562E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2A" w:rsidRDefault="00192D2A" w:rsidP="00E4747B">
      <w:pPr>
        <w:spacing w:after="0" w:line="240" w:lineRule="auto"/>
      </w:pPr>
      <w:r>
        <w:separator/>
      </w:r>
    </w:p>
  </w:endnote>
  <w:endnote w:type="continuationSeparator" w:id="0">
    <w:p w:rsidR="00192D2A" w:rsidRDefault="00192D2A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881054"/>
      <w:docPartObj>
        <w:docPartGallery w:val="Page Numbers (Bottom of Page)"/>
        <w:docPartUnique/>
      </w:docPartObj>
    </w:sdtPr>
    <w:sdtContent>
      <w:p w:rsidR="00534970" w:rsidRDefault="005349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128">
          <w:rPr>
            <w:noProof/>
          </w:rPr>
          <w:t>6</w:t>
        </w:r>
        <w:r>
          <w:fldChar w:fldCharType="end"/>
        </w:r>
      </w:p>
    </w:sdtContent>
  </w:sdt>
  <w:p w:rsidR="00192D2A" w:rsidRPr="00AE2CD6" w:rsidRDefault="00534970" w:rsidP="00534970">
    <w:pPr>
      <w:pStyle w:val="Zpa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Verze</w:t>
    </w:r>
    <w:r w:rsidRPr="00AE2CD6">
      <w:rPr>
        <w:rFonts w:ascii="Times New Roman" w:hAnsi="Times New Roman" w:cs="Times New Roman"/>
        <w:i/>
      </w:rPr>
      <w:t xml:space="preserve"> pro zased</w:t>
    </w:r>
    <w:r>
      <w:rPr>
        <w:rFonts w:ascii="Times New Roman" w:hAnsi="Times New Roman" w:cs="Times New Roman"/>
        <w:i/>
      </w:rPr>
      <w:t>ání AS FHS dne 20</w:t>
    </w:r>
    <w:r w:rsidRPr="00AE2CD6">
      <w:rPr>
        <w:rFonts w:ascii="Times New Roman" w:hAnsi="Times New Roman" w:cs="Times New Roman"/>
        <w:i/>
      </w:rPr>
      <w:t xml:space="preserve">. </w:t>
    </w:r>
    <w:r>
      <w:rPr>
        <w:rFonts w:ascii="Times New Roman" w:hAnsi="Times New Roman" w:cs="Times New Roman"/>
        <w:i/>
      </w:rPr>
      <w:t>1. 2021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2A" w:rsidRDefault="00192D2A" w:rsidP="00E4747B">
      <w:pPr>
        <w:spacing w:after="0" w:line="240" w:lineRule="auto"/>
      </w:pPr>
      <w:r>
        <w:separator/>
      </w:r>
    </w:p>
  </w:footnote>
  <w:footnote w:type="continuationSeparator" w:id="0">
    <w:p w:rsidR="00192D2A" w:rsidRDefault="00192D2A" w:rsidP="00E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BF" w:rsidRDefault="00DA51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C7492B" wp14:editId="004EBA5C">
          <wp:simplePos x="0" y="0"/>
          <wp:positionH relativeFrom="margin">
            <wp:align>left</wp:align>
          </wp:positionH>
          <wp:positionV relativeFrom="paragraph">
            <wp:posOffset>1682</wp:posOffset>
          </wp:positionV>
          <wp:extent cx="1947553" cy="285272"/>
          <wp:effectExtent l="0" t="0" r="0" b="635"/>
          <wp:wrapNone/>
          <wp:docPr id="10" name="Obrázek 10" descr="http://vizual.utb.cz/fhs/fhs-full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://vizual.utb.cz/fhs/fhs-full4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53" cy="285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CD4"/>
    <w:multiLevelType w:val="hybridMultilevel"/>
    <w:tmpl w:val="D48EF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1878"/>
    <w:multiLevelType w:val="hybridMultilevel"/>
    <w:tmpl w:val="A5F2DEAC"/>
    <w:lvl w:ilvl="0" w:tplc="4A86878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A44"/>
    <w:multiLevelType w:val="hybridMultilevel"/>
    <w:tmpl w:val="C51EA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22B"/>
    <w:multiLevelType w:val="hybridMultilevel"/>
    <w:tmpl w:val="2004C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F0197"/>
    <w:multiLevelType w:val="hybridMultilevel"/>
    <w:tmpl w:val="74AC6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86813"/>
    <w:multiLevelType w:val="hybridMultilevel"/>
    <w:tmpl w:val="DDF6D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80B3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30FEE"/>
    <w:multiLevelType w:val="hybridMultilevel"/>
    <w:tmpl w:val="8D42C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B4DEA"/>
    <w:multiLevelType w:val="hybridMultilevel"/>
    <w:tmpl w:val="B660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17A41"/>
    <w:multiLevelType w:val="hybridMultilevel"/>
    <w:tmpl w:val="838616A4"/>
    <w:lvl w:ilvl="0" w:tplc="E32CB5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D74B3"/>
    <w:multiLevelType w:val="hybridMultilevel"/>
    <w:tmpl w:val="5B6E1DC4"/>
    <w:lvl w:ilvl="0" w:tplc="2F72B1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B4436"/>
    <w:multiLevelType w:val="hybridMultilevel"/>
    <w:tmpl w:val="1B6C68A4"/>
    <w:lvl w:ilvl="0" w:tplc="AD5404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E7705"/>
    <w:multiLevelType w:val="hybridMultilevel"/>
    <w:tmpl w:val="AC909496"/>
    <w:lvl w:ilvl="0" w:tplc="FB86091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92"/>
    <w:rsid w:val="00013228"/>
    <w:rsid w:val="0001772F"/>
    <w:rsid w:val="000221D6"/>
    <w:rsid w:val="0002301B"/>
    <w:rsid w:val="00024C95"/>
    <w:rsid w:val="00024E5F"/>
    <w:rsid w:val="00045048"/>
    <w:rsid w:val="00046E01"/>
    <w:rsid w:val="000608C6"/>
    <w:rsid w:val="00065E98"/>
    <w:rsid w:val="00071419"/>
    <w:rsid w:val="000765D7"/>
    <w:rsid w:val="00082ECB"/>
    <w:rsid w:val="00087429"/>
    <w:rsid w:val="00087579"/>
    <w:rsid w:val="00087E2C"/>
    <w:rsid w:val="000D5EA4"/>
    <w:rsid w:val="000E1C13"/>
    <w:rsid w:val="000E33FB"/>
    <w:rsid w:val="000E556C"/>
    <w:rsid w:val="000E6F07"/>
    <w:rsid w:val="000F30F0"/>
    <w:rsid w:val="000F660D"/>
    <w:rsid w:val="0010320B"/>
    <w:rsid w:val="00104769"/>
    <w:rsid w:val="00107404"/>
    <w:rsid w:val="0012525A"/>
    <w:rsid w:val="00134849"/>
    <w:rsid w:val="001348C2"/>
    <w:rsid w:val="00152DDA"/>
    <w:rsid w:val="00161944"/>
    <w:rsid w:val="00162919"/>
    <w:rsid w:val="001667B2"/>
    <w:rsid w:val="001778E7"/>
    <w:rsid w:val="00192D2A"/>
    <w:rsid w:val="00194C15"/>
    <w:rsid w:val="001A0C8F"/>
    <w:rsid w:val="001B6989"/>
    <w:rsid w:val="001B7FA2"/>
    <w:rsid w:val="001C0AAF"/>
    <w:rsid w:val="001C19EC"/>
    <w:rsid w:val="001C4285"/>
    <w:rsid w:val="001D0381"/>
    <w:rsid w:val="001E31FF"/>
    <w:rsid w:val="001F21A4"/>
    <w:rsid w:val="0020036D"/>
    <w:rsid w:val="00210D5F"/>
    <w:rsid w:val="00212C49"/>
    <w:rsid w:val="0022571D"/>
    <w:rsid w:val="002268FA"/>
    <w:rsid w:val="00227328"/>
    <w:rsid w:val="00240693"/>
    <w:rsid w:val="0025376D"/>
    <w:rsid w:val="00273ABC"/>
    <w:rsid w:val="0027726E"/>
    <w:rsid w:val="0027744C"/>
    <w:rsid w:val="00277B8B"/>
    <w:rsid w:val="0029379E"/>
    <w:rsid w:val="00294F56"/>
    <w:rsid w:val="002A0AD9"/>
    <w:rsid w:val="002A1310"/>
    <w:rsid w:val="002A3C96"/>
    <w:rsid w:val="002B079A"/>
    <w:rsid w:val="002B29DE"/>
    <w:rsid w:val="002B4D2B"/>
    <w:rsid w:val="002C2FC3"/>
    <w:rsid w:val="002C4B5F"/>
    <w:rsid w:val="002C7B96"/>
    <w:rsid w:val="002D2D0F"/>
    <w:rsid w:val="002D306E"/>
    <w:rsid w:val="002D6430"/>
    <w:rsid w:val="002E1FBD"/>
    <w:rsid w:val="002F7D07"/>
    <w:rsid w:val="003114E2"/>
    <w:rsid w:val="00311514"/>
    <w:rsid w:val="003138FE"/>
    <w:rsid w:val="00340A97"/>
    <w:rsid w:val="00342600"/>
    <w:rsid w:val="00342A82"/>
    <w:rsid w:val="00356DAA"/>
    <w:rsid w:val="00365C66"/>
    <w:rsid w:val="00375A81"/>
    <w:rsid w:val="00386A1F"/>
    <w:rsid w:val="003A337A"/>
    <w:rsid w:val="003A7347"/>
    <w:rsid w:val="003B74AA"/>
    <w:rsid w:val="003C6E94"/>
    <w:rsid w:val="00401316"/>
    <w:rsid w:val="00410D78"/>
    <w:rsid w:val="00414939"/>
    <w:rsid w:val="0043078F"/>
    <w:rsid w:val="00441270"/>
    <w:rsid w:val="004471BB"/>
    <w:rsid w:val="00451FAB"/>
    <w:rsid w:val="0046684E"/>
    <w:rsid w:val="004709C5"/>
    <w:rsid w:val="00483585"/>
    <w:rsid w:val="004840DB"/>
    <w:rsid w:val="0048550B"/>
    <w:rsid w:val="004A40E3"/>
    <w:rsid w:val="004A524D"/>
    <w:rsid w:val="004B5636"/>
    <w:rsid w:val="004D3361"/>
    <w:rsid w:val="004D5335"/>
    <w:rsid w:val="004E08E3"/>
    <w:rsid w:val="004E466B"/>
    <w:rsid w:val="004E5111"/>
    <w:rsid w:val="004E5E11"/>
    <w:rsid w:val="004F0037"/>
    <w:rsid w:val="0050368D"/>
    <w:rsid w:val="00506180"/>
    <w:rsid w:val="005263CD"/>
    <w:rsid w:val="00534970"/>
    <w:rsid w:val="005462A2"/>
    <w:rsid w:val="00553996"/>
    <w:rsid w:val="00555C1D"/>
    <w:rsid w:val="00560265"/>
    <w:rsid w:val="00562B6F"/>
    <w:rsid w:val="00562E02"/>
    <w:rsid w:val="00566D93"/>
    <w:rsid w:val="00582128"/>
    <w:rsid w:val="005838B0"/>
    <w:rsid w:val="00597DD1"/>
    <w:rsid w:val="005A49D9"/>
    <w:rsid w:val="005A6F92"/>
    <w:rsid w:val="005B0039"/>
    <w:rsid w:val="005B1F73"/>
    <w:rsid w:val="005B4B92"/>
    <w:rsid w:val="005B7367"/>
    <w:rsid w:val="005C297E"/>
    <w:rsid w:val="005D6431"/>
    <w:rsid w:val="005E31D3"/>
    <w:rsid w:val="005E3257"/>
    <w:rsid w:val="005E533C"/>
    <w:rsid w:val="005F07F1"/>
    <w:rsid w:val="006233AE"/>
    <w:rsid w:val="006310D7"/>
    <w:rsid w:val="00635AF9"/>
    <w:rsid w:val="0065134B"/>
    <w:rsid w:val="0065173A"/>
    <w:rsid w:val="00655121"/>
    <w:rsid w:val="006665BB"/>
    <w:rsid w:val="0068312E"/>
    <w:rsid w:val="006A0DDA"/>
    <w:rsid w:val="006B2458"/>
    <w:rsid w:val="006B5A04"/>
    <w:rsid w:val="006B5A1B"/>
    <w:rsid w:val="006B5FE1"/>
    <w:rsid w:val="006D6786"/>
    <w:rsid w:val="006D7101"/>
    <w:rsid w:val="006D7D8B"/>
    <w:rsid w:val="006E38ED"/>
    <w:rsid w:val="006E6680"/>
    <w:rsid w:val="006F0B59"/>
    <w:rsid w:val="006F58E7"/>
    <w:rsid w:val="00721D18"/>
    <w:rsid w:val="007521ED"/>
    <w:rsid w:val="00761BA5"/>
    <w:rsid w:val="00762065"/>
    <w:rsid w:val="00762CC1"/>
    <w:rsid w:val="00764C49"/>
    <w:rsid w:val="00766A45"/>
    <w:rsid w:val="00771017"/>
    <w:rsid w:val="00781291"/>
    <w:rsid w:val="00781673"/>
    <w:rsid w:val="007829D3"/>
    <w:rsid w:val="007C131A"/>
    <w:rsid w:val="007C1D48"/>
    <w:rsid w:val="007C494D"/>
    <w:rsid w:val="007C4FE2"/>
    <w:rsid w:val="007E0355"/>
    <w:rsid w:val="007E1681"/>
    <w:rsid w:val="007E3C89"/>
    <w:rsid w:val="007E67C8"/>
    <w:rsid w:val="007F702D"/>
    <w:rsid w:val="00810702"/>
    <w:rsid w:val="008236FB"/>
    <w:rsid w:val="00827AEC"/>
    <w:rsid w:val="008369D9"/>
    <w:rsid w:val="0086549E"/>
    <w:rsid w:val="0087048C"/>
    <w:rsid w:val="00873B95"/>
    <w:rsid w:val="0087488A"/>
    <w:rsid w:val="00882532"/>
    <w:rsid w:val="008827D4"/>
    <w:rsid w:val="008836B6"/>
    <w:rsid w:val="008920AE"/>
    <w:rsid w:val="008A1882"/>
    <w:rsid w:val="008B2650"/>
    <w:rsid w:val="008B36AF"/>
    <w:rsid w:val="008B7546"/>
    <w:rsid w:val="008C4D12"/>
    <w:rsid w:val="008D44B8"/>
    <w:rsid w:val="008D44E8"/>
    <w:rsid w:val="008D6977"/>
    <w:rsid w:val="008E1806"/>
    <w:rsid w:val="008E3D36"/>
    <w:rsid w:val="009017FB"/>
    <w:rsid w:val="00920319"/>
    <w:rsid w:val="0093038B"/>
    <w:rsid w:val="00930D32"/>
    <w:rsid w:val="00933242"/>
    <w:rsid w:val="00935730"/>
    <w:rsid w:val="00937D7B"/>
    <w:rsid w:val="00970D35"/>
    <w:rsid w:val="0097365D"/>
    <w:rsid w:val="00983E05"/>
    <w:rsid w:val="009926FF"/>
    <w:rsid w:val="009933A1"/>
    <w:rsid w:val="009955F5"/>
    <w:rsid w:val="009A22A8"/>
    <w:rsid w:val="009C773D"/>
    <w:rsid w:val="009D15B4"/>
    <w:rsid w:val="009D4099"/>
    <w:rsid w:val="009D7CA7"/>
    <w:rsid w:val="009E0A1A"/>
    <w:rsid w:val="009E189B"/>
    <w:rsid w:val="009E4121"/>
    <w:rsid w:val="009F27A0"/>
    <w:rsid w:val="00A05890"/>
    <w:rsid w:val="00A43337"/>
    <w:rsid w:val="00A5443C"/>
    <w:rsid w:val="00A7584A"/>
    <w:rsid w:val="00A814ED"/>
    <w:rsid w:val="00A839FE"/>
    <w:rsid w:val="00A84E1D"/>
    <w:rsid w:val="00A93438"/>
    <w:rsid w:val="00AA1ACF"/>
    <w:rsid w:val="00AA4EF7"/>
    <w:rsid w:val="00AA5C9E"/>
    <w:rsid w:val="00AA72E7"/>
    <w:rsid w:val="00AB053D"/>
    <w:rsid w:val="00AC63E7"/>
    <w:rsid w:val="00AD12F5"/>
    <w:rsid w:val="00AE2CD6"/>
    <w:rsid w:val="00B02B36"/>
    <w:rsid w:val="00B04B87"/>
    <w:rsid w:val="00B143CB"/>
    <w:rsid w:val="00B15542"/>
    <w:rsid w:val="00B24821"/>
    <w:rsid w:val="00B27D97"/>
    <w:rsid w:val="00B33250"/>
    <w:rsid w:val="00B57387"/>
    <w:rsid w:val="00B60F8C"/>
    <w:rsid w:val="00B62D10"/>
    <w:rsid w:val="00B67CC1"/>
    <w:rsid w:val="00B81124"/>
    <w:rsid w:val="00B8662B"/>
    <w:rsid w:val="00B932AF"/>
    <w:rsid w:val="00BA0ADB"/>
    <w:rsid w:val="00BD6759"/>
    <w:rsid w:val="00BE001D"/>
    <w:rsid w:val="00BE544B"/>
    <w:rsid w:val="00C043AD"/>
    <w:rsid w:val="00C223EE"/>
    <w:rsid w:val="00C27145"/>
    <w:rsid w:val="00C30DA1"/>
    <w:rsid w:val="00C45AFF"/>
    <w:rsid w:val="00C5699D"/>
    <w:rsid w:val="00C61F28"/>
    <w:rsid w:val="00C83B5C"/>
    <w:rsid w:val="00C87111"/>
    <w:rsid w:val="00C93AD0"/>
    <w:rsid w:val="00C93D75"/>
    <w:rsid w:val="00C96B85"/>
    <w:rsid w:val="00CA34CF"/>
    <w:rsid w:val="00CA393A"/>
    <w:rsid w:val="00CB0BC0"/>
    <w:rsid w:val="00CD68C5"/>
    <w:rsid w:val="00CE1ECD"/>
    <w:rsid w:val="00D01684"/>
    <w:rsid w:val="00D12E11"/>
    <w:rsid w:val="00D24F15"/>
    <w:rsid w:val="00D4111C"/>
    <w:rsid w:val="00D41329"/>
    <w:rsid w:val="00D433D4"/>
    <w:rsid w:val="00D46372"/>
    <w:rsid w:val="00D47970"/>
    <w:rsid w:val="00D60842"/>
    <w:rsid w:val="00D618A8"/>
    <w:rsid w:val="00D85EB8"/>
    <w:rsid w:val="00DA46EA"/>
    <w:rsid w:val="00DA51BF"/>
    <w:rsid w:val="00DB67E7"/>
    <w:rsid w:val="00DC05FB"/>
    <w:rsid w:val="00DD5ECF"/>
    <w:rsid w:val="00DD7B99"/>
    <w:rsid w:val="00E01572"/>
    <w:rsid w:val="00E02B6F"/>
    <w:rsid w:val="00E03CAA"/>
    <w:rsid w:val="00E042B3"/>
    <w:rsid w:val="00E24B34"/>
    <w:rsid w:val="00E371F6"/>
    <w:rsid w:val="00E37550"/>
    <w:rsid w:val="00E436D8"/>
    <w:rsid w:val="00E44F1B"/>
    <w:rsid w:val="00E4747B"/>
    <w:rsid w:val="00E51504"/>
    <w:rsid w:val="00E579D8"/>
    <w:rsid w:val="00E6161E"/>
    <w:rsid w:val="00E637F7"/>
    <w:rsid w:val="00E6408E"/>
    <w:rsid w:val="00E67178"/>
    <w:rsid w:val="00E71C34"/>
    <w:rsid w:val="00E80F20"/>
    <w:rsid w:val="00EB103A"/>
    <w:rsid w:val="00EB2871"/>
    <w:rsid w:val="00EB6569"/>
    <w:rsid w:val="00EB7A22"/>
    <w:rsid w:val="00EC0E6F"/>
    <w:rsid w:val="00ED014C"/>
    <w:rsid w:val="00ED5895"/>
    <w:rsid w:val="00EE17BA"/>
    <w:rsid w:val="00F10BD3"/>
    <w:rsid w:val="00F1274C"/>
    <w:rsid w:val="00F16442"/>
    <w:rsid w:val="00F22851"/>
    <w:rsid w:val="00F345AE"/>
    <w:rsid w:val="00F443AA"/>
    <w:rsid w:val="00F46FFA"/>
    <w:rsid w:val="00F50B6B"/>
    <w:rsid w:val="00F50FF8"/>
    <w:rsid w:val="00F51C55"/>
    <w:rsid w:val="00F55935"/>
    <w:rsid w:val="00F640EF"/>
    <w:rsid w:val="00F67F77"/>
    <w:rsid w:val="00F70DCE"/>
    <w:rsid w:val="00F73DC1"/>
    <w:rsid w:val="00F820A6"/>
    <w:rsid w:val="00F87507"/>
    <w:rsid w:val="00F95819"/>
    <w:rsid w:val="00F96E09"/>
    <w:rsid w:val="00FC312F"/>
    <w:rsid w:val="00FC66C8"/>
    <w:rsid w:val="00FE76A0"/>
    <w:rsid w:val="00FF01D4"/>
    <w:rsid w:val="00FF09B2"/>
    <w:rsid w:val="00FF37B2"/>
    <w:rsid w:val="00FF4C9D"/>
    <w:rsid w:val="00FF5AD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2A5139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4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4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419"/>
    <w:rPr>
      <w:vertAlign w:val="superscript"/>
    </w:rPr>
  </w:style>
  <w:style w:type="character" w:styleId="Siln">
    <w:name w:val="Strong"/>
    <w:basedOn w:val="Standardnpsmoodstavce"/>
    <w:qFormat/>
    <w:rsid w:val="00451FAB"/>
    <w:rPr>
      <w:b/>
      <w:bCs/>
    </w:rPr>
  </w:style>
  <w:style w:type="paragraph" w:customStyle="1" w:styleId="Default">
    <w:name w:val="Default"/>
    <w:rsid w:val="00FF7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8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50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zlinsky.cz/strategicke-a-koncepcni-dokumenty-cl-4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C7B4-09D9-4B54-BECE-8EFB8452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6</Pages>
  <Words>1882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Libor Marek</cp:lastModifiedBy>
  <cp:revision>224</cp:revision>
  <cp:lastPrinted>2020-12-22T13:54:00Z</cp:lastPrinted>
  <dcterms:created xsi:type="dcterms:W3CDTF">2019-05-29T13:39:00Z</dcterms:created>
  <dcterms:modified xsi:type="dcterms:W3CDTF">2020-12-22T14:28:00Z</dcterms:modified>
</cp:coreProperties>
</file>