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527A12BE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</w:t>
      </w:r>
      <w:r w:rsidR="00660D09">
        <w:rPr>
          <w:b/>
          <w:sz w:val="32"/>
        </w:rPr>
        <w:t>2</w:t>
      </w:r>
      <w:r>
        <w:rPr>
          <w:b/>
          <w:sz w:val="32"/>
        </w:rPr>
        <w:t>/202</w:t>
      </w:r>
      <w:r w:rsidR="00660D09">
        <w:rPr>
          <w:b/>
          <w:sz w:val="32"/>
        </w:rPr>
        <w:t>3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26C4163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89008A">
        <w:t xml:space="preserve"> (bude doplněno)</w:t>
      </w:r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6D7765D3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855D0B" w:rsidRPr="006530F6">
        <w:t xml:space="preserve">, rozhodujícím kritériem pro přijetí uchazeče je </w:t>
      </w:r>
      <w:r w:rsidR="005C7C8F" w:rsidRPr="006530F6">
        <w:t>prospěch u státních závěrečných zkoušek v bakalářském studiu</w:t>
      </w:r>
      <w:r w:rsidR="00855D0B" w:rsidRPr="006530F6">
        <w:t xml:space="preserve">. </w:t>
      </w:r>
      <w:r w:rsidR="00AF3854" w:rsidRPr="004341D2">
        <w:t>U</w:t>
      </w:r>
      <w:r w:rsidR="00855D0B" w:rsidRPr="004341D2">
        <w:t> </w:t>
      </w:r>
      <w:r w:rsidR="00AF3854" w:rsidRPr="004341D2">
        <w:t>uchazečů o</w:t>
      </w:r>
      <w:r w:rsidR="00215FD6" w:rsidRPr="004341D2">
        <w:t> </w:t>
      </w:r>
      <w:r w:rsidR="00AF3854" w:rsidRPr="004341D2">
        <w:t xml:space="preserve">studijní </w:t>
      </w:r>
      <w:r w:rsidR="007E360B" w:rsidRPr="004341D2">
        <w:t>program</w:t>
      </w:r>
      <w:r w:rsidR="00920D21" w:rsidRPr="004341D2">
        <w:t>y</w:t>
      </w:r>
      <w:r w:rsidR="00AF3854" w:rsidRPr="004341D2">
        <w:t xml:space="preserve"> v prezenční formě se </w:t>
      </w:r>
      <w:r w:rsidR="00A655DF" w:rsidRPr="004341D2">
        <w:t xml:space="preserve">požaduje </w:t>
      </w:r>
      <w:r w:rsidR="00BC7E00" w:rsidRPr="004341D2">
        <w:t xml:space="preserve">znalost </w:t>
      </w:r>
      <w:r w:rsidR="00AF3854" w:rsidRPr="004341D2">
        <w:t>anglického jazyka</w:t>
      </w:r>
      <w:r w:rsidR="00BC7E00" w:rsidRPr="004341D2">
        <w:t xml:space="preserve"> </w:t>
      </w:r>
      <w:r w:rsidR="00CD13F7" w:rsidRPr="004341D2">
        <w:t xml:space="preserve">minimálně </w:t>
      </w:r>
      <w:r w:rsidR="00BC7E00" w:rsidRPr="004341D2">
        <w:t>na úrovni B</w:t>
      </w:r>
      <w:r w:rsidR="00A655DF" w:rsidRPr="004341D2">
        <w:t>1 podle</w:t>
      </w:r>
      <w:r w:rsidR="00295391" w:rsidRPr="004341D2">
        <w:t> </w:t>
      </w:r>
      <w:r w:rsidR="00A655DF" w:rsidRPr="004341D2">
        <w:t>Společného evropského referenčního rámce pro</w:t>
      </w:r>
      <w:r w:rsidR="00A6558E" w:rsidRPr="004341D2">
        <w:t> </w:t>
      </w:r>
      <w:r w:rsidR="00A655DF" w:rsidRPr="004341D2">
        <w:t>jazyky</w:t>
      </w:r>
      <w:r w:rsidR="00BC7E00" w:rsidRPr="004341D2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302DEFF8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>202</w:t>
      </w:r>
      <w:r w:rsidR="00660D09">
        <w:rPr>
          <w:b/>
        </w:rPr>
        <w:t>2</w:t>
      </w:r>
      <w:r w:rsidR="00EC103F">
        <w:rPr>
          <w:b/>
        </w:rPr>
        <w:t xml:space="preserve">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6D5BDAFA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</w:t>
      </w:r>
      <w:r w:rsidR="00446AC4">
        <w:rPr>
          <w:rFonts w:ascii="Times New Roman" w:hAnsi="Times New Roman"/>
          <w:b/>
          <w:sz w:val="24"/>
          <w:szCs w:val="24"/>
        </w:rPr>
        <w:t>2</w:t>
      </w:r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45AB71" w14:textId="77777777" w:rsidR="005C7C8F" w:rsidRPr="009F389C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F4DE6A" w14:textId="77777777" w:rsidR="009F389C" w:rsidRPr="00837686" w:rsidRDefault="009F389C" w:rsidP="009F389C">
      <w:pPr>
        <w:autoSpaceDE w:val="0"/>
        <w:autoSpaceDN w:val="0"/>
        <w:adjustRightInd w:val="0"/>
        <w:ind w:right="23"/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77EC9982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</w:t>
        </w:r>
        <w:r w:rsidR="003A10D0" w:rsidRPr="008108BD">
          <w:rPr>
            <w:rStyle w:val="Hypertextovodkaz"/>
            <w:color w:val="auto"/>
            <w:u w:val="none"/>
          </w:rPr>
          <w:t>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</w:t>
      </w:r>
      <w:r w:rsidR="00446AC4">
        <w:rPr>
          <w:b/>
        </w:rPr>
        <w:t>2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4ACA179F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</w:t>
      </w:r>
      <w:r w:rsidRPr="004341D2">
        <w:rPr>
          <w:b/>
        </w:rPr>
        <w:t xml:space="preserve">do </w:t>
      </w:r>
      <w:r w:rsidR="00D97CF1" w:rsidRPr="004341D2">
        <w:rPr>
          <w:b/>
        </w:rPr>
        <w:t>12. dubna 202</w:t>
      </w:r>
      <w:r w:rsidR="009C05DA">
        <w:rPr>
          <w:b/>
        </w:rPr>
        <w:t>2</w:t>
      </w:r>
      <w:r w:rsidR="00D97CF1">
        <w:rPr>
          <w:b/>
        </w:rPr>
        <w:t>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7F193E9D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</w:t>
      </w:r>
      <w:r w:rsidR="007D75A1">
        <w:rPr>
          <w:b/>
        </w:rPr>
        <w:t>2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</w:t>
      </w:r>
      <w:r w:rsidR="007D75A1">
        <w:t>2</w:t>
      </w:r>
      <w:r w:rsidRPr="00F62D83">
        <w:t xml:space="preserve"> příslušný bakalářský obor</w:t>
      </w:r>
      <w:r w:rsidRPr="00BA23C4">
        <w:t xml:space="preserve"> na FHS. Žádné součásti přihlášky se uchazečům nevracejí.</w:t>
      </w:r>
    </w:p>
    <w:p w14:paraId="5246FBB2" w14:textId="0683FB1C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</w:t>
      </w:r>
      <w:r w:rsidR="007D75A1">
        <w:t>2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 a přesným termínem a místem</w:t>
      </w:r>
      <w:r w:rsidRPr="006530F6">
        <w:t xml:space="preserve"> konání zkoušky. 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EF39062" w14:textId="4B31C27F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</w:t>
      </w:r>
      <w:r w:rsidR="007D75A1">
        <w:t>2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4889EDA3" w14:textId="77777777" w:rsidR="006530F6" w:rsidRPr="00BA23C4" w:rsidRDefault="006530F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5907CF1" w14:textId="77777777" w:rsidR="00477C2C" w:rsidRPr="006530F6" w:rsidRDefault="00477C2C" w:rsidP="006530F6">
      <w:pPr>
        <w:ind w:right="23"/>
        <w:jc w:val="both"/>
      </w:pP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3682BE9D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r w:rsidR="00D97CF1" w:rsidRPr="00D97CF1">
        <w:rPr>
          <w:b/>
        </w:rPr>
        <w:t>1</w:t>
      </w:r>
      <w:r w:rsidR="007D75A1">
        <w:rPr>
          <w:b/>
        </w:rPr>
        <w:t>4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</w:t>
      </w:r>
      <w:r w:rsidR="007D75A1">
        <w:rPr>
          <w:b/>
        </w:rPr>
        <w:t>2</w:t>
      </w:r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0EAFB68B" w14:textId="50D76167" w:rsidR="00315C55" w:rsidRDefault="00E621D7" w:rsidP="00315C55">
      <w:pPr>
        <w:spacing w:before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8F4C6C" w:rsidRPr="006530F6">
        <w:t xml:space="preserve"> Pořadí uchazečů o</w:t>
      </w:r>
      <w:r w:rsidR="00502448" w:rsidRPr="006530F6">
        <w:t> </w:t>
      </w:r>
      <w:r w:rsidR="008F4C6C" w:rsidRPr="006530F6">
        <w:t xml:space="preserve">studium </w:t>
      </w:r>
      <w:r w:rsidR="007E360B">
        <w:t>program</w:t>
      </w:r>
      <w:r w:rsidR="008F4C6C">
        <w:t xml:space="preserve">u </w:t>
      </w:r>
      <w:r w:rsidR="007E360B">
        <w:t>Předškolní pedagogika</w:t>
      </w:r>
      <w:r w:rsidR="008F4C6C" w:rsidRPr="00F62D83">
        <w:t xml:space="preserve"> </w:t>
      </w:r>
      <w:r w:rsidR="006373AD" w:rsidRPr="00F62D83">
        <w:t xml:space="preserve">je stanoveno na základě průměru </w:t>
      </w:r>
      <w:r w:rsidR="00BD2CD2" w:rsidRPr="009706EA">
        <w:t>hodnocení předmětů státní závěrečné zkoušky</w:t>
      </w:r>
      <w:r w:rsidR="002B32BB" w:rsidRPr="00F62D83">
        <w:t xml:space="preserve"> v celkovém pořadí </w:t>
      </w:r>
      <w:r w:rsidR="00315C55">
        <w:t>až do počtu stanoveného děkanem FHS pro příslušný program a akademický rok 2022/2023.</w:t>
      </w:r>
    </w:p>
    <w:p w14:paraId="17C2F535" w14:textId="0C9E5F2D" w:rsidR="00C52662" w:rsidRPr="00F62D83" w:rsidRDefault="00C52662" w:rsidP="00D842E0">
      <w:pPr>
        <w:autoSpaceDE w:val="0"/>
        <w:autoSpaceDN w:val="0"/>
        <w:adjustRightInd w:val="0"/>
        <w:spacing w:before="120" w:after="120"/>
        <w:ind w:right="23"/>
        <w:jc w:val="both"/>
      </w:pPr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0B699E37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r w:rsidR="007D75A1">
        <w:rPr>
          <w:b/>
        </w:rPr>
        <w:t>1</w:t>
      </w:r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</w:t>
      </w:r>
      <w:r w:rsidR="007D75A1">
        <w:rPr>
          <w:b/>
        </w:rPr>
        <w:t>2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1D187C15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2FAF246B" w14:textId="2D7833B1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 xml:space="preserve">Rozhodnutí je doručeno dnem jeho převzetí, popřípadě dnem odepření zásilku převzít. Nepodaří-li se rozhodnutí doručit, doručí se písemnost veřejnou vyhláškou </w:t>
      </w:r>
      <w:r w:rsidR="00F46F5D" w:rsidRPr="006530F6">
        <w:lastRenderedPageBreak/>
        <w:t>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  <w:bookmarkStart w:id="0" w:name="_GoBack"/>
      <w:bookmarkEnd w:id="0"/>
    </w:p>
    <w:sectPr w:rsidR="003F70DB" w:rsidRPr="00F62D83" w:rsidSect="006C170E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A0363" w14:textId="77777777" w:rsidR="000172D4" w:rsidRDefault="000172D4">
      <w:r>
        <w:separator/>
      </w:r>
    </w:p>
  </w:endnote>
  <w:endnote w:type="continuationSeparator" w:id="0">
    <w:p w14:paraId="61A319BD" w14:textId="77777777" w:rsidR="000172D4" w:rsidRDefault="000172D4">
      <w:r>
        <w:continuationSeparator/>
      </w:r>
    </w:p>
  </w:endnote>
  <w:endnote w:type="continuationNotice" w:id="1">
    <w:p w14:paraId="51EDCCF1" w14:textId="77777777" w:rsidR="000172D4" w:rsidRDefault="00017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46562137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660D09">
      <w:rPr>
        <w:i/>
      </w:rPr>
      <w:t>3</w:t>
    </w:r>
    <w:r w:rsidR="000A5488" w:rsidRPr="000A5488">
      <w:rPr>
        <w:i/>
      </w:rPr>
      <w:t xml:space="preserve">. </w:t>
    </w:r>
    <w:r w:rsidR="00660D09">
      <w:rPr>
        <w:i/>
      </w:rPr>
      <w:t>října</w:t>
    </w:r>
    <w:r w:rsidR="00660D09" w:rsidRPr="000A5488">
      <w:rPr>
        <w:i/>
      </w:rPr>
      <w:t xml:space="preserve"> </w:t>
    </w:r>
    <w:r w:rsidRPr="000A5488">
      <w:rPr>
        <w:i/>
      </w:rPr>
      <w:t>20</w:t>
    </w:r>
    <w:r w:rsidR="000A5488" w:rsidRPr="000A5488">
      <w:rPr>
        <w:i/>
      </w:rPr>
      <w:t>2</w:t>
    </w:r>
    <w:r w:rsidR="00660D09">
      <w:rPr>
        <w:i/>
      </w:rPr>
      <w:t>1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1C59D" w14:textId="77777777" w:rsidR="000172D4" w:rsidRDefault="000172D4">
      <w:r>
        <w:separator/>
      </w:r>
    </w:p>
  </w:footnote>
  <w:footnote w:type="continuationSeparator" w:id="0">
    <w:p w14:paraId="45F87F3D" w14:textId="77777777" w:rsidR="000172D4" w:rsidRDefault="000172D4">
      <w:r>
        <w:continuationSeparator/>
      </w:r>
    </w:p>
  </w:footnote>
  <w:footnote w:type="continuationNotice" w:id="1">
    <w:p w14:paraId="5A1BCB83" w14:textId="77777777" w:rsidR="000172D4" w:rsidRDefault="00017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51"/>
    <w:rsid w:val="00006491"/>
    <w:rsid w:val="00014CB0"/>
    <w:rsid w:val="00016B35"/>
    <w:rsid w:val="000172D4"/>
    <w:rsid w:val="0002527C"/>
    <w:rsid w:val="000331CE"/>
    <w:rsid w:val="00034DEB"/>
    <w:rsid w:val="0003517D"/>
    <w:rsid w:val="00035D5E"/>
    <w:rsid w:val="00041358"/>
    <w:rsid w:val="00041A68"/>
    <w:rsid w:val="000460E9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573E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2C1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15C55"/>
    <w:rsid w:val="00320902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07D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5232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341D2"/>
    <w:rsid w:val="004412DA"/>
    <w:rsid w:val="0044306B"/>
    <w:rsid w:val="004450CE"/>
    <w:rsid w:val="00446AC4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60D09"/>
    <w:rsid w:val="00672BC5"/>
    <w:rsid w:val="00677BDE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482C"/>
    <w:rsid w:val="007B59B8"/>
    <w:rsid w:val="007C1420"/>
    <w:rsid w:val="007C55B3"/>
    <w:rsid w:val="007C6827"/>
    <w:rsid w:val="007C71B1"/>
    <w:rsid w:val="007C74C6"/>
    <w:rsid w:val="007D4E6B"/>
    <w:rsid w:val="007D75A1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560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05DA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0BDC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5053"/>
    <w:rsid w:val="00D867CB"/>
    <w:rsid w:val="00D92FF3"/>
    <w:rsid w:val="00D97CF1"/>
    <w:rsid w:val="00DA5148"/>
    <w:rsid w:val="00DB3290"/>
    <w:rsid w:val="00DC0116"/>
    <w:rsid w:val="00DC3FB0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tb.cz/fhs/o-fakulte/uredni-de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BD69-65B7-4B78-A764-257F3827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1398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10302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Libor Marek</cp:lastModifiedBy>
  <cp:revision>6</cp:revision>
  <cp:lastPrinted>2021-10-01T07:56:00Z</cp:lastPrinted>
  <dcterms:created xsi:type="dcterms:W3CDTF">2021-10-01T09:39:00Z</dcterms:created>
  <dcterms:modified xsi:type="dcterms:W3CDTF">2021-10-06T16:50:00Z</dcterms:modified>
</cp:coreProperties>
</file>