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754E55" w:rsidRPr="000219FF" w:rsidRDefault="00754E55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754E55" w:rsidRPr="000219FF" w:rsidRDefault="00754E55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754E55" w:rsidRDefault="00996AC4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54E55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54E55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754E55" w:rsidRDefault="00754E55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29DBC55D" w14:textId="0D55CB04" w:rsidR="00B6295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2904037" w:history="1">
        <w:r w:rsidR="00B62955" w:rsidRPr="0070107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_Toc92904037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6F2F4977" w14:textId="32256D87" w:rsidR="00B62955" w:rsidRDefault="00B62955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8" w:history="1">
        <w:r w:rsidRPr="0070107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223B6B" w14:textId="1E23BAD3" w:rsidR="00B62955" w:rsidRDefault="00B62955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9" w:history="1">
        <w:r w:rsidRPr="0070107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4E1B9D" w14:textId="1269B8B8" w:rsidR="00B62955" w:rsidRDefault="00B62955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0" w:history="1">
        <w:r w:rsidRPr="0070107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86222A" w14:textId="70A45FCC" w:rsidR="00B62955" w:rsidRDefault="00B62955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1" w:history="1">
        <w:r w:rsidRPr="00701072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D96DB7" w14:textId="1C44A7E6" w:rsidR="00B62955" w:rsidRDefault="00B62955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2" w:history="1">
        <w:r w:rsidRPr="00701072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52D1C3" w14:textId="25F26470" w:rsidR="00B62955" w:rsidRDefault="00B62955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3" w:history="1">
        <w:r w:rsidRPr="00701072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45D5DF" w14:textId="3142CA80" w:rsidR="00B62955" w:rsidRDefault="00B62955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4" w:history="1">
        <w:r w:rsidRPr="00701072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92A900C" w14:textId="7ECFFF15" w:rsidR="00B62955" w:rsidRDefault="00B62955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5" w:history="1">
        <w:r w:rsidRPr="00701072">
          <w:rPr>
            <w:rStyle w:val="Hypertextovodkaz"/>
            <w:noProof/>
          </w:rPr>
          <w:t>Pilíř E: LIDSKÉ ZDROJE, FINANCOVÁNÍ, VNITŘNÍ PROTŘEDÍ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0E4F380" w14:textId="0D4212B5" w:rsidR="00B62955" w:rsidRDefault="00B62955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6" w:history="1">
        <w:r w:rsidRPr="0070107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_Toc92904046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92904037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9290403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440A7E5D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</w:t>
      </w:r>
      <w:proofErr w:type="spellStart"/>
      <w:r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1DE06290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partnerství veřejného a společenského života ve městě Zlíně i ve Zlínském kraji.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290403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="00DC2F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C2FFB">
        <w:rPr>
          <w:rFonts w:ascii="Times New Roman" w:hAnsi="Times New Roman" w:cs="Times New Roman"/>
          <w:sz w:val="24"/>
          <w:szCs w:val="24"/>
        </w:rPr>
        <w:t>kvartilech</w:t>
      </w:r>
      <w:proofErr w:type="spellEnd"/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9290404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92904041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Nástroje podpory nadaných studentů UTB ve Zlíně – Počet nástrojů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 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</w:t>
            </w:r>
            <w:r w:rsidR="0022186F">
              <w:rPr>
                <w:rFonts w:ascii="Times New Roman" w:hAnsi="Times New Roman" w:cs="Times New Roman"/>
              </w:rPr>
              <w:lastRenderedPageBreak/>
              <w:t xml:space="preserve">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345A4FDE" w:rsidR="0022186F" w:rsidRPr="002A429F" w:rsidRDefault="00712F6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309FE267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 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 xml:space="preserve">Rozvíjet systém podpory studentských stáží a </w:t>
            </w:r>
          </w:p>
          <w:p w14:paraId="37C13331" w14:textId="62BBD322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F5A9D34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>
              <w:rPr>
                <w:rFonts w:ascii="Times New Roman" w:hAnsi="Times New Roman" w:cs="Times New Roman"/>
              </w:rPr>
              <w:t>mentoringu</w:t>
            </w:r>
            <w:proofErr w:type="spellEnd"/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4E6FBF5D" w:rsidR="00E52207" w:rsidRPr="00992A91" w:rsidRDefault="000639B4" w:rsidP="00E522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hodnocení</w:t>
            </w:r>
            <w:r w:rsidR="00E52207"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3407A5" w:rsidRDefault="003407A5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3407A5" w:rsidRDefault="003407A5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3407A5" w:rsidRPr="00124FA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3407A5" w:rsidRPr="00A060F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3407A5" w:rsidRPr="00A12756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3407A5" w:rsidRPr="002A429F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3407A5" w:rsidRDefault="003407A5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3407A5" w14:paraId="600818EC" w14:textId="77777777" w:rsidTr="00065217">
        <w:trPr>
          <w:trHeight w:val="9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3407A5" w:rsidRPr="00AD4FD2" w:rsidRDefault="003407A5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</w:t>
            </w:r>
            <w:r>
              <w:rPr>
                <w:rFonts w:ascii="Times New Roman" w:hAnsi="Times New Roman" w:cs="Times New Roman"/>
              </w:rPr>
              <w:lastRenderedPageBreak/>
              <w:t>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3407A5" w:rsidRPr="0014213C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</w:t>
            </w:r>
            <w:proofErr w:type="spell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learningových</w:t>
            </w:r>
            <w:proofErr w:type="spell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nástrojů</w:t>
            </w:r>
          </w:p>
          <w:p w14:paraId="5F9CD4B3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3407A5" w:rsidRPr="003C672A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3407A5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C25E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5AB7B560" w:rsidR="003407A5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 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 Organizovat školení k problematice nástrojů e-</w:t>
            </w:r>
            <w:proofErr w:type="spellStart"/>
            <w:r>
              <w:rPr>
                <w:rFonts w:ascii="Times New Roman" w:hAnsi="Times New Roman" w:cs="Times New Roman"/>
              </w:rPr>
              <w:t>learningu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3407A5" w:rsidRPr="00124FA8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3407A5" w:rsidRPr="00DA5174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3407A5" w:rsidRPr="00DA5174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3407A5" w:rsidRPr="0084624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7A5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3407A5" w:rsidRPr="000D43B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3407A5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3407A5" w:rsidRPr="004A4A0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3407A5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3407A5" w:rsidRPr="00E24632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3407A5" w:rsidRPr="00E24632" w:rsidRDefault="003E59D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3407A5" w:rsidRPr="00A946BD" w:rsidDel="00876D03" w:rsidRDefault="003407A5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3407A5" w:rsidRPr="00C51305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7A5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722F8366" w:rsidR="003407A5" w:rsidRPr="000D43B5" w:rsidRDefault="003407A5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3407A5" w:rsidRPr="009C27F8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680DA36C" w:rsidR="003954D2" w:rsidRPr="000D43B5" w:rsidRDefault="003954D2" w:rsidP="00F3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74028E5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9290404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289059CE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77222F75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Ředitelé ústavů/center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0654083A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 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661B039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D59A14F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 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1B9B8F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0B1ECFE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ústavů/center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200ED52E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5BC77DBA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pedagogickou činnost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92904043"/>
            <w:r w:rsidRPr="00156D09">
              <w:rPr>
                <w:sz w:val="28"/>
                <w:szCs w:val="28"/>
              </w:rPr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402E42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1FB3AA7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4E1D9D50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37C5E96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26D1FD1B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v </w:t>
            </w:r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 xml:space="preserve">Erasmus </w:t>
            </w:r>
            <w:proofErr w:type="spellStart"/>
            <w:r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CBA">
              <w:rPr>
                <w:rFonts w:ascii="Times New Roman" w:hAnsi="Times New Roman" w:cs="Times New Roman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1E65D6F6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60FFE658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3AC335A5" w:rsidR="00AF69F8" w:rsidRPr="00C14CBA" w:rsidRDefault="00D26D75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 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58D7C504" w:rsidR="00AF69F8" w:rsidRDefault="00B34C1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 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06E4E455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 xml:space="preserve">, EMREX a 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77777777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 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527D056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zajištění 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proofErr w:type="spellEnd"/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17E18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817E18" w:rsidRPr="00316532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817E18" w:rsidRPr="004E1CC0" w:rsidRDefault="00817E18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817E18" w:rsidRPr="004E1CC0" w:rsidRDefault="00817E18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817E18" w:rsidRPr="008F0E30" w:rsidRDefault="00817E18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lastRenderedPageBreak/>
              <w:t>Dílčí cíl 3.3.2</w:t>
            </w:r>
          </w:p>
          <w:p w14:paraId="61E406F7" w14:textId="6BBE9B8E" w:rsidR="00817E18" w:rsidRPr="000D43B5" w:rsidRDefault="00817E18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44EF262" w:rsidR="00817E18" w:rsidRPr="008F0E30" w:rsidRDefault="00817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rozvíjení </w:t>
            </w:r>
            <w:r w:rsidRPr="008F0E30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40182A62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F0685F" w:rsidRPr="004F3CE9" w:rsidRDefault="00F0685F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817E18" w:rsidRPr="004F3CE9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17E18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5663C" w14:textId="77777777" w:rsidR="00817E18" w:rsidRPr="008F0E30" w:rsidRDefault="00817E18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44FE883B" w14:textId="0C9824AE" w:rsidR="00817E18" w:rsidRPr="008F0E30" w:rsidRDefault="00817E18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817E18" w:rsidRPr="008F0E30" w:rsidRDefault="00817E1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817E18" w:rsidRPr="004F3CE9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817E18" w:rsidRPr="008F0E30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9290404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2BB4C5F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301F83DE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 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44129AE3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8CCDBFF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 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2FB51CC2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 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koronaviru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61E7E6F7" w:rsidR="00E0128D" w:rsidRPr="00E0128D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Vedení FHS</w:t>
            </w: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77777777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92904045"/>
            <w:r w:rsidRPr="00156D09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1E8547AA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S</w:t>
            </w:r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4408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5D40AA9A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0149B9B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 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A44D04A" w:rsidR="00424398" w:rsidRDefault="007824D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5FD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601CB574" w:rsidR="00430727" w:rsidRPr="00BA4F66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42D54620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="008B3B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152122A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posilování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2D67183B" w:rsidR="00424398" w:rsidRPr="00144122" w:rsidRDefault="00434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 na UTB ve Zlín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009D630A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25BE8D35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motivačního systému,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01ED15A8" w:rsidR="0026300D" w:rsidRPr="00AC6B85" w:rsidRDefault="009044E3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BE5A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3" w:name="_Toc92904046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754E55" w:rsidRDefault="00754E55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754E55" w:rsidRDefault="00754E55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25A75EA4" w:rsidR="00754E55" w:rsidRPr="008D08C4" w:rsidRDefault="00754E5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6AC4" w:rsidRPr="00996AC4">
      <w:rPr>
        <w:rFonts w:ascii="Times New Roman" w:hAnsi="Times New Roman"/>
        <w:noProof/>
        <w:sz w:val="20"/>
        <w:szCs w:val="20"/>
      </w:rPr>
      <w:t>18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6AC4" w:rsidRPr="00996AC4">
        <w:rPr>
          <w:rFonts w:ascii="Times New Roman" w:hAnsi="Times New Roman"/>
          <w:noProof/>
          <w:sz w:val="20"/>
          <w:szCs w:val="20"/>
        </w:rPr>
        <w:t>26</w:t>
      </w:r>
    </w:fldSimple>
  </w:p>
  <w:p w14:paraId="33DAE976" w14:textId="02587C71" w:rsidR="00754E55" w:rsidRDefault="00754E55" w:rsidP="00065217">
    <w:pPr>
      <w:pStyle w:val="Zpat"/>
      <w:jc w:val="center"/>
    </w:pPr>
    <w:r>
      <w:rPr>
        <w:rFonts w:ascii="Times New Roman" w:hAnsi="Times New Roman" w:cs="Times New Roman"/>
      </w:rPr>
      <w:t>Verze pro zasedání AS FHS dne 19. 1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1D48B5FB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6AC4" w:rsidRPr="00996AC4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6AC4" w:rsidRPr="00996AC4">
        <w:rPr>
          <w:rFonts w:ascii="Times New Roman" w:hAnsi="Times New Roman"/>
          <w:noProof/>
          <w:sz w:val="20"/>
          <w:szCs w:val="20"/>
        </w:rPr>
        <w:t>26</w:t>
      </w:r>
    </w:fldSimple>
  </w:p>
  <w:p w14:paraId="7E1344FC" w14:textId="65ACFBEA" w:rsidR="00754E55" w:rsidRDefault="00754E55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5F603FC0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96AC4" w:rsidRPr="00996AC4">
      <w:rPr>
        <w:rFonts w:ascii="Times New Roman" w:hAnsi="Times New Roman"/>
        <w:noProof/>
        <w:sz w:val="20"/>
        <w:szCs w:val="20"/>
      </w:rPr>
      <w:t>26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996AC4" w:rsidRPr="00996AC4">
        <w:rPr>
          <w:rFonts w:ascii="Times New Roman" w:hAnsi="Times New Roman"/>
          <w:noProof/>
          <w:sz w:val="20"/>
          <w:szCs w:val="20"/>
        </w:rPr>
        <w:t>26</w:t>
      </w:r>
    </w:fldSimple>
  </w:p>
  <w:p w14:paraId="52422F69" w14:textId="5571F548" w:rsidR="00754E55" w:rsidRPr="008D08C4" w:rsidRDefault="00754E55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754E55" w:rsidRDefault="0075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754E55" w:rsidRDefault="00754E55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754E55" w:rsidRDefault="00754E55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754E55" w:rsidRPr="000D6C5B" w:rsidRDefault="00754E55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 xml:space="preserve">UTB </w:t>
      </w:r>
      <w:proofErr w:type="spellStart"/>
      <w:r w:rsidRPr="000D6C5B">
        <w:rPr>
          <w:rFonts w:ascii="Times New Roman" w:eastAsia="Times New Roman" w:hAnsi="Times New Roman" w:cs="Times New Roman"/>
        </w:rPr>
        <w:t>ve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Zlíně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754E55" w:rsidRPr="007676F5" w:rsidRDefault="00754E55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754E55" w:rsidRPr="00E37CD1" w:rsidRDefault="00754E55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754E55" w:rsidRPr="00BD49DB" w:rsidRDefault="00754E55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754E55" w:rsidRDefault="00754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1133"/>
    <w:rsid w:val="000462E9"/>
    <w:rsid w:val="00056212"/>
    <w:rsid w:val="000568B6"/>
    <w:rsid w:val="00056DD4"/>
    <w:rsid w:val="00060026"/>
    <w:rsid w:val="000602E5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366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4C49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40189"/>
    <w:rsid w:val="00742A0C"/>
    <w:rsid w:val="007430A9"/>
    <w:rsid w:val="00744F89"/>
    <w:rsid w:val="0074714A"/>
    <w:rsid w:val="00747685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6483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714"/>
    <w:rsid w:val="009A6B6F"/>
    <w:rsid w:val="009B03A7"/>
    <w:rsid w:val="009B33D3"/>
    <w:rsid w:val="009B3C71"/>
    <w:rsid w:val="009B40A8"/>
    <w:rsid w:val="009B5ABC"/>
    <w:rsid w:val="009C539F"/>
    <w:rsid w:val="009C6D9D"/>
    <w:rsid w:val="009D30B5"/>
    <w:rsid w:val="009D595D"/>
    <w:rsid w:val="009D70B5"/>
    <w:rsid w:val="009E031F"/>
    <w:rsid w:val="009E3E28"/>
    <w:rsid w:val="009E48F7"/>
    <w:rsid w:val="009E7357"/>
    <w:rsid w:val="009E7D3F"/>
    <w:rsid w:val="009F4830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4722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812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6EF4"/>
    <w:rsid w:val="00D41EBF"/>
    <w:rsid w:val="00D429DE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2720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A7E9-7C08-4FD7-8BFA-4DEED041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27</Pages>
  <Words>6826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224</cp:revision>
  <cp:lastPrinted>2020-08-26T11:16:00Z</cp:lastPrinted>
  <dcterms:created xsi:type="dcterms:W3CDTF">2021-06-09T20:04:00Z</dcterms:created>
  <dcterms:modified xsi:type="dcterms:W3CDTF">2022-01-12T22:56:00Z</dcterms:modified>
</cp:coreProperties>
</file>