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4A992ACC" w:rsidR="00465FEB" w:rsidRPr="00FE4EB8" w:rsidRDefault="008247C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2023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48EE84CF" w14:textId="4CF65A3B" w:rsidR="00D94B6C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60433860" w:history="1">
            <w:r w:rsidR="00D94B6C" w:rsidRPr="00744C17">
              <w:rPr>
                <w:rStyle w:val="Hypertextovodkaz"/>
                <w:rFonts w:cstheme="minorHAnsi"/>
                <w:noProof/>
              </w:rPr>
              <w:t>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Úvod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169CD20" w14:textId="26C5B575" w:rsidR="00D94B6C" w:rsidRDefault="00F9055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1" w:history="1">
            <w:r w:rsidR="00D94B6C" w:rsidRPr="00744C17">
              <w:rPr>
                <w:rStyle w:val="Hypertextovodkaz"/>
                <w:rFonts w:cstheme="minorHAnsi"/>
                <w:noProof/>
              </w:rPr>
              <w:t>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_Toc160433861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52EEE285" w14:textId="53763750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2" w:history="1">
            <w:r w:rsidR="00D94B6C" w:rsidRPr="00744C17">
              <w:rPr>
                <w:rStyle w:val="Hypertextovodkaz"/>
                <w:rFonts w:cstheme="minorHAnsi"/>
                <w:noProof/>
              </w:rPr>
              <w:t>2.1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_Toc160433862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4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3174F45E" w14:textId="504ACB9E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3" w:history="1">
            <w:r w:rsidR="00D94B6C" w:rsidRPr="00744C17">
              <w:rPr>
                <w:rStyle w:val="Hypertextovodkaz"/>
                <w:rFonts w:cstheme="minorHAnsi"/>
                <w:noProof/>
              </w:rPr>
              <w:t>2.2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_Toc160433863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ECF763D" w14:textId="283B46AE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4" w:history="1">
            <w:r w:rsidR="00D94B6C" w:rsidRPr="00744C17">
              <w:rPr>
                <w:rStyle w:val="Hypertextovodkaz"/>
                <w:rFonts w:cstheme="minorHAnsi"/>
                <w:noProof/>
              </w:rPr>
              <w:t>2.2.1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_Toc160433864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27F7F5ED" w14:textId="37E19121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5" w:history="1">
            <w:r w:rsidR="00D94B6C" w:rsidRPr="00744C17">
              <w:rPr>
                <w:rStyle w:val="Hypertextovodkaz"/>
                <w:rFonts w:cstheme="minorHAnsi"/>
                <w:noProof/>
              </w:rPr>
              <w:t>2.2.2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_Toc160433865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EA250FF" w14:textId="5960E91E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6" w:history="1">
            <w:r w:rsidR="00D94B6C" w:rsidRPr="00744C17">
              <w:rPr>
                <w:rStyle w:val="Hypertextovodkaz"/>
                <w:rFonts w:cstheme="minorHAnsi"/>
                <w:noProof/>
              </w:rPr>
              <w:t>2.2.3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Projekty IGA – Trinity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_Toc160433866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6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40A46E9" w14:textId="2140BB45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7" w:history="1">
            <w:r w:rsidR="00D94B6C" w:rsidRPr="00744C17">
              <w:rPr>
                <w:rStyle w:val="Hypertextovodkaz"/>
                <w:rFonts w:cstheme="minorHAnsi"/>
                <w:noProof/>
              </w:rPr>
              <w:t>2.3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_Toc160433867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6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794F57A5" w14:textId="30F98D3B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8" w:history="1">
            <w:r w:rsidR="00D94B6C" w:rsidRPr="00744C17">
              <w:rPr>
                <w:rStyle w:val="Hypertextovodkaz"/>
                <w:rFonts w:cstheme="minorHAnsi"/>
                <w:noProof/>
              </w:rPr>
              <w:t>2.4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_Toc160433868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7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73E25092" w14:textId="7F663129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69" w:history="1">
            <w:r w:rsidR="00D94B6C" w:rsidRPr="00744C17">
              <w:rPr>
                <w:rStyle w:val="Hypertextovodkaz"/>
                <w:rFonts w:cstheme="minorHAnsi"/>
                <w:noProof/>
              </w:rPr>
              <w:t>2.5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Podpora VVaI – DKRVO – dotace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_Toc160433869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7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4C39E627" w14:textId="64EB50A4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0" w:history="1">
            <w:r w:rsidR="00D94B6C" w:rsidRPr="00744C17">
              <w:rPr>
                <w:rStyle w:val="Hypertextovodkaz"/>
                <w:rFonts w:cstheme="minorHAnsi"/>
                <w:noProof/>
              </w:rPr>
              <w:t>2.6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Ukazatel P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43F3C69" w14:textId="76E90AA5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1" w:history="1">
            <w:r w:rsidR="00D94B6C" w:rsidRPr="00744C17">
              <w:rPr>
                <w:rStyle w:val="Hypertextovodkaz"/>
                <w:rFonts w:cstheme="minorHAnsi"/>
                <w:noProof/>
              </w:rPr>
              <w:t>2.7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_Toc160433871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8FD649B" w14:textId="7A0B17D7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2" w:history="1">
            <w:r w:rsidR="00D94B6C" w:rsidRPr="00744C17">
              <w:rPr>
                <w:rStyle w:val="Hypertextovodkaz"/>
                <w:rFonts w:cstheme="minorHAnsi"/>
                <w:noProof/>
              </w:rPr>
              <w:t>2.7.1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Projekt TA ČR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_Toc160433872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5C096DB1" w14:textId="31B68F3A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3" w:history="1">
            <w:r w:rsidR="00D94B6C" w:rsidRPr="00744C17">
              <w:rPr>
                <w:rStyle w:val="Hypertextovodkaz"/>
                <w:rFonts w:cstheme="minorHAnsi"/>
                <w:noProof/>
              </w:rPr>
              <w:t>2.7.2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_Toc160433873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70C201E7" w14:textId="2E1EF97A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4" w:history="1">
            <w:r w:rsidR="00D94B6C" w:rsidRPr="00744C17">
              <w:rPr>
                <w:rStyle w:val="Hypertextovodkaz"/>
                <w:rFonts w:cstheme="minorHAnsi"/>
                <w:noProof/>
              </w:rPr>
              <w:t>2.7.3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Národní program obnovy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_Toc160433874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5DCFFC9E" w14:textId="2A4132A9" w:rsidR="00D94B6C" w:rsidRDefault="00F9055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5" w:history="1">
            <w:r w:rsidR="00D94B6C" w:rsidRPr="00744C17">
              <w:rPr>
                <w:rStyle w:val="Hypertextovodkaz"/>
                <w:noProof/>
              </w:rPr>
              <w:t>2.7.4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noProof/>
              </w:rPr>
              <w:t>Projekt smluvního výzkumu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_Toc160433875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10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F1B236D" w14:textId="2DB854B1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6" w:history="1">
            <w:r w:rsidR="00D94B6C" w:rsidRPr="00744C17">
              <w:rPr>
                <w:rStyle w:val="Hypertextovodkaz"/>
                <w:rFonts w:cstheme="minorHAnsi"/>
                <w:noProof/>
              </w:rPr>
              <w:t>2.8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_Toc160433876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10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1F2AC0E6" w14:textId="34275D1B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7" w:history="1">
            <w:r w:rsidR="00D94B6C" w:rsidRPr="00744C17">
              <w:rPr>
                <w:rStyle w:val="Hypertextovodkaz"/>
                <w:rFonts w:cstheme="minorHAnsi"/>
                <w:noProof/>
              </w:rPr>
              <w:t>2.9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_Toc160433877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12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46370927" w14:textId="0F812F81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8" w:history="1">
            <w:r w:rsidR="00D94B6C" w:rsidRPr="00744C17">
              <w:rPr>
                <w:rStyle w:val="Hypertextovodkaz"/>
                <w:rFonts w:cstheme="minorHAnsi"/>
                <w:noProof/>
              </w:rPr>
              <w:t>2.10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_Toc160433878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12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4866EF97" w14:textId="5119FC33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79" w:history="1">
            <w:r w:rsidR="00D94B6C" w:rsidRPr="00744C17">
              <w:rPr>
                <w:rStyle w:val="Hypertextovodkaz"/>
                <w:rFonts w:cstheme="minorHAnsi"/>
                <w:noProof/>
              </w:rPr>
              <w:t>2.11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Osobní náklady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_Toc160433879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13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30024634" w14:textId="5668FCE5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0" w:history="1">
            <w:r w:rsidR="00D94B6C" w:rsidRPr="00744C17">
              <w:rPr>
                <w:rStyle w:val="Hypertextovodkaz"/>
                <w:rFonts w:cstheme="minorHAnsi"/>
                <w:noProof/>
              </w:rPr>
              <w:t>2.12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Majetkové účty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_Toc160433880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15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24C0444" w14:textId="7F5D0C68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1" w:history="1">
            <w:r w:rsidR="00D94B6C" w:rsidRPr="00744C17">
              <w:rPr>
                <w:rStyle w:val="Hypertextovodkaz"/>
                <w:rFonts w:cstheme="minorHAnsi"/>
                <w:noProof/>
              </w:rPr>
              <w:t>2.13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_Toc160433881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16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194C9A91" w14:textId="73D10789" w:rsidR="00D94B6C" w:rsidRDefault="00F9055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2" w:history="1">
            <w:r w:rsidR="00D94B6C" w:rsidRPr="00744C17">
              <w:rPr>
                <w:rStyle w:val="Hypertextovodkaz"/>
                <w:rFonts w:cstheme="minorHAnsi"/>
                <w:noProof/>
              </w:rPr>
              <w:t>2.14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_Toc160433882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17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2AD27BCD" w14:textId="77E91A54" w:rsidR="00D94B6C" w:rsidRDefault="00F9055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3" w:history="1">
            <w:r w:rsidR="00D94B6C" w:rsidRPr="00744C17">
              <w:rPr>
                <w:rStyle w:val="Hypertextovodkaz"/>
                <w:rFonts w:cstheme="minorHAnsi"/>
                <w:noProof/>
              </w:rPr>
              <w:t>3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_Toc160433883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67E43A1E" w14:textId="6B1B7AD9" w:rsidR="00D94B6C" w:rsidRDefault="00F9055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4" w:history="1">
            <w:r w:rsidR="00D94B6C" w:rsidRPr="00744C17">
              <w:rPr>
                <w:rStyle w:val="Hypertextovodkaz"/>
                <w:rFonts w:cstheme="minorHAnsi"/>
                <w:noProof/>
              </w:rPr>
              <w:t>4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_Toc160433884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18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39967826" w14:textId="3DAF03AD" w:rsidR="00D94B6C" w:rsidRDefault="00F9055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60433885" w:history="1">
            <w:r w:rsidR="00D94B6C" w:rsidRPr="00744C17">
              <w:rPr>
                <w:rStyle w:val="Hypertextovodkaz"/>
                <w:rFonts w:cstheme="minorHAnsi"/>
                <w:noProof/>
              </w:rPr>
              <w:t>5</w:t>
            </w:r>
            <w:r w:rsidR="00D94B6C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94B6C" w:rsidRPr="00744C17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D94B6C">
              <w:rPr>
                <w:noProof/>
                <w:webHidden/>
              </w:rPr>
              <w:tab/>
            </w:r>
            <w:r w:rsidR="00D94B6C">
              <w:rPr>
                <w:noProof/>
                <w:webHidden/>
              </w:rPr>
              <w:fldChar w:fldCharType="begin"/>
            </w:r>
            <w:r w:rsidR="00D94B6C">
              <w:rPr>
                <w:noProof/>
                <w:webHidden/>
              </w:rPr>
              <w:instrText xml:space="preserve"> PAGEREF _Toc160433885 \h </w:instrText>
            </w:r>
            <w:r w:rsidR="00D94B6C">
              <w:rPr>
                <w:noProof/>
                <w:webHidden/>
              </w:rPr>
            </w:r>
            <w:r w:rsidR="00D94B6C">
              <w:rPr>
                <w:noProof/>
                <w:webHidden/>
              </w:rPr>
              <w:fldChar w:fldCharType="separate"/>
            </w:r>
            <w:r w:rsidR="00D94B6C">
              <w:rPr>
                <w:noProof/>
                <w:webHidden/>
              </w:rPr>
              <w:t>19</w:t>
            </w:r>
            <w:r w:rsidR="00D94B6C">
              <w:rPr>
                <w:noProof/>
                <w:webHidden/>
              </w:rPr>
              <w:fldChar w:fldCharType="end"/>
            </w:r>
          </w:hyperlink>
        </w:p>
        <w:p w14:paraId="001A457C" w14:textId="4856CF71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160433860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0ACC9555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</w:t>
      </w:r>
      <w:r w:rsidR="008247C6">
        <w:rPr>
          <w:rFonts w:asciiTheme="minorHAnsi" w:hAnsiTheme="minorHAnsi" w:cstheme="minorHAnsi"/>
        </w:rPr>
        <w:t>23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</w:t>
      </w:r>
      <w:r w:rsidR="008247C6">
        <w:rPr>
          <w:rFonts w:asciiTheme="minorHAnsi" w:hAnsiTheme="minorHAnsi" w:cstheme="minorHAnsi"/>
        </w:rPr>
        <w:t xml:space="preserve"> ve Zlíně pro rok 2023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</w:t>
      </w:r>
      <w:r w:rsidR="008247C6">
        <w:rPr>
          <w:rFonts w:asciiTheme="minorHAnsi" w:hAnsiTheme="minorHAnsi" w:cstheme="minorHAnsi"/>
        </w:rPr>
        <w:t xml:space="preserve"> ve Zlíně na rok 2023 včetně dodatku č. 1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8247C6">
        <w:rPr>
          <w:rFonts w:asciiTheme="minorHAnsi" w:hAnsiTheme="minorHAnsi" w:cstheme="minorHAnsi"/>
        </w:rPr>
        <w:t>y humanitních studií na rok 2023 včetně dodatku č. 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5AE6B663" w:rsidR="009B26CB" w:rsidRDefault="006C11AE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C11AE">
        <w:rPr>
          <w:rFonts w:asciiTheme="minorHAnsi" w:hAnsiTheme="minorHAnsi" w:cstheme="minorHAnsi"/>
        </w:rPr>
        <w:t>V roce 2023</w:t>
      </w:r>
      <w:r w:rsidR="009B26CB" w:rsidRPr="006C11AE">
        <w:rPr>
          <w:rFonts w:asciiTheme="minorHAnsi" w:hAnsiTheme="minorHAnsi" w:cstheme="minorHAnsi"/>
        </w:rPr>
        <w:t xml:space="preserve"> dosáhla Fakulta humanitních studií </w:t>
      </w:r>
      <w:r w:rsidR="0080083F" w:rsidRPr="006C11AE">
        <w:rPr>
          <w:rFonts w:asciiTheme="minorHAnsi" w:hAnsiTheme="minorHAnsi" w:cstheme="minorHAnsi"/>
        </w:rPr>
        <w:t xml:space="preserve">(FHS) </w:t>
      </w:r>
      <w:r w:rsidR="009B26CB" w:rsidRPr="006C11AE">
        <w:rPr>
          <w:rFonts w:asciiTheme="minorHAnsi" w:hAnsiTheme="minorHAnsi" w:cstheme="minorHAnsi"/>
        </w:rPr>
        <w:t xml:space="preserve">kladného hospodářského výsledku ve výši </w:t>
      </w:r>
      <w:r w:rsidR="006C4919" w:rsidRPr="006C11AE">
        <w:rPr>
          <w:rFonts w:asciiTheme="minorHAnsi" w:hAnsiTheme="minorHAnsi" w:cstheme="minorHAnsi"/>
        </w:rPr>
        <w:t xml:space="preserve">1 </w:t>
      </w:r>
      <w:r w:rsidRPr="006C11AE">
        <w:rPr>
          <w:rFonts w:asciiTheme="minorHAnsi" w:hAnsiTheme="minorHAnsi" w:cstheme="minorHAnsi"/>
        </w:rPr>
        <w:t>757</w:t>
      </w:r>
      <w:r w:rsidR="009B26CB" w:rsidRPr="006C11AE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C11AE">
        <w:rPr>
          <w:rFonts w:asciiTheme="minorHAnsi" w:hAnsiTheme="minorHAnsi" w:cstheme="minorHAnsi"/>
        </w:rPr>
        <w:t>1 </w:t>
      </w:r>
      <w:r w:rsidRPr="006C11AE">
        <w:rPr>
          <w:rFonts w:asciiTheme="minorHAnsi" w:hAnsiTheme="minorHAnsi" w:cstheme="minorHAnsi"/>
        </w:rPr>
        <w:t>708</w:t>
      </w:r>
      <w:r w:rsidR="009B26CB" w:rsidRPr="006C11AE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Pr="006C11AE">
        <w:rPr>
          <w:rFonts w:asciiTheme="minorHAnsi" w:hAnsiTheme="minorHAnsi" w:cstheme="minorHAnsi"/>
        </w:rPr>
        <w:t>49</w:t>
      </w:r>
      <w:r w:rsidR="009B26CB" w:rsidRPr="006C11AE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160433861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628F50A4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8247C6">
        <w:rPr>
          <w:rFonts w:asciiTheme="minorHAnsi" w:hAnsiTheme="minorHAnsi" w:cstheme="minorHAnsi"/>
        </w:rPr>
        <w:t xml:space="preserve"> FHS v roce 2023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2" w:name="_Toc160433862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0276D88B" w:rsidR="00E937C8" w:rsidRPr="00FE4EB8" w:rsidRDefault="006540A3" w:rsidP="008247C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8247C6">
              <w:rPr>
                <w:rFonts w:asciiTheme="minorHAnsi" w:hAnsiTheme="minorHAnsi" w:cstheme="minorHAnsi"/>
              </w:rPr>
              <w:t>110 681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0D7FD331" w:rsidR="00E937C8" w:rsidRPr="00FE4EB8" w:rsidRDefault="00B77A3F" w:rsidP="008247C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8247C6">
              <w:rPr>
                <w:rFonts w:asciiTheme="minorHAnsi" w:hAnsiTheme="minorHAnsi" w:cstheme="minorHAnsi"/>
              </w:rPr>
              <w:t>000</w:t>
            </w:r>
          </w:p>
        </w:tc>
      </w:tr>
      <w:tr w:rsidR="00D87CF6" w:rsidRPr="00FE4EB8" w14:paraId="388BD26F" w14:textId="77777777" w:rsidTr="009453B9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FF57F5" w14:textId="40C283CB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IGA – K </w:t>
            </w:r>
            <w:proofErr w:type="spellStart"/>
            <w:r>
              <w:rPr>
                <w:rFonts w:asciiTheme="minorHAnsi" w:hAnsiTheme="minorHAnsi" w:cstheme="minorHAnsi"/>
              </w:rPr>
              <w:t>Trinity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4F0F" w14:textId="0146D5B2" w:rsidR="00D87CF6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</w:tr>
      <w:tr w:rsidR="00D87CF6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3F891EA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160</w:t>
            </w:r>
          </w:p>
        </w:tc>
      </w:tr>
      <w:tr w:rsidR="00D87CF6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9C15A17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181</w:t>
            </w:r>
          </w:p>
        </w:tc>
      </w:tr>
      <w:tr w:rsidR="00D87CF6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239419FD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386</w:t>
            </w:r>
          </w:p>
        </w:tc>
      </w:tr>
      <w:tr w:rsidR="00D87CF6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54EAC3D5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20</w:t>
            </w:r>
          </w:p>
        </w:tc>
      </w:tr>
      <w:tr w:rsidR="00D87CF6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214C506B" w:rsidR="00D87CF6" w:rsidRPr="00FE4EB8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</w:tr>
      <w:tr w:rsidR="00D87CF6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07D0C03F" w:rsidR="00D87CF6" w:rsidRPr="00944485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4 459</w:t>
            </w:r>
          </w:p>
        </w:tc>
      </w:tr>
      <w:tr w:rsidR="00D87CF6" w:rsidRPr="00FE4EB8" w14:paraId="551F825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DD90B" w14:textId="690159A7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Projekty smluvního výzkumu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57C2" w14:textId="3B0421F6" w:rsidR="00D87CF6" w:rsidRPr="00944485" w:rsidRDefault="00607B30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</w:p>
        </w:tc>
      </w:tr>
      <w:tr w:rsidR="00D87CF6" w:rsidRPr="00FE4EB8" w14:paraId="0C2C88B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72F90E" w14:textId="6C79BC2D" w:rsidR="00D87CF6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Zahraniční projekty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50C5" w14:textId="16FD810B" w:rsidR="00D87CF6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</w:tr>
      <w:tr w:rsidR="00D87CF6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D87CF6" w:rsidRPr="00317404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62CEB5C2" w:rsidR="00D87CF6" w:rsidRPr="00317404" w:rsidRDefault="00D87CF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6 809</w:t>
            </w:r>
          </w:p>
        </w:tc>
      </w:tr>
      <w:tr w:rsidR="00D87CF6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55C71E39" w:rsidR="00D87CF6" w:rsidRPr="00FE4EB8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Výše odvodů na celouniverzitní aktivity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9A5401" w:rsidR="00D87CF6" w:rsidRPr="00B77A3F" w:rsidRDefault="00D87CF6" w:rsidP="00D87CF6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22 603</w:t>
            </w:r>
          </w:p>
        </w:tc>
      </w:tr>
      <w:tr w:rsidR="00D87CF6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D87CF6" w:rsidRPr="00607B30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2FBFC9CC" w:rsidR="00D87CF6" w:rsidRPr="00607B30" w:rsidRDefault="00D87CF6" w:rsidP="00607B30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 xml:space="preserve">110 </w:t>
            </w:r>
            <w:r w:rsidR="00607B30">
              <w:rPr>
                <w:rFonts w:asciiTheme="minorHAnsi" w:hAnsiTheme="minorHAnsi" w:cstheme="minorHAnsi"/>
                <w:b/>
              </w:rPr>
              <w:t>614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60433863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>
      <w:pPr>
        <w:pStyle w:val="Nadpis3"/>
        <w:tabs>
          <w:tab w:val="left" w:pos="7655"/>
          <w:tab w:val="left" w:pos="7938"/>
        </w:tabs>
        <w:rPr>
          <w:rFonts w:asciiTheme="minorHAnsi" w:hAnsiTheme="minorHAnsi" w:cstheme="minorHAnsi"/>
        </w:rPr>
        <w:pPrChange w:id="4" w:author="Libor Marek" w:date="2024-04-03T17:19:00Z">
          <w:pPr>
            <w:pStyle w:val="Nadpis3"/>
          </w:pPr>
        </w:pPrChange>
      </w:pPr>
      <w:bookmarkStart w:id="5" w:name="_Toc160433864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5"/>
    </w:p>
    <w:p w14:paraId="6E096C05" w14:textId="1DE4D81A" w:rsidR="000A5063" w:rsidRPr="00FE4EB8" w:rsidRDefault="003A3E34">
      <w:pPr>
        <w:tabs>
          <w:tab w:val="left" w:pos="7938"/>
        </w:tabs>
        <w:spacing w:after="3" w:line="264" w:lineRule="auto"/>
        <w:ind w:left="7090" w:firstLine="698"/>
        <w:rPr>
          <w:rFonts w:asciiTheme="minorHAnsi" w:hAnsiTheme="minorHAnsi" w:cstheme="minorHAnsi"/>
        </w:rPr>
        <w:pPrChange w:id="6" w:author="Libor Marek" w:date="2024-04-03T17:19:00Z">
          <w:pPr>
            <w:spacing w:after="3" w:line="264" w:lineRule="auto"/>
            <w:ind w:left="7090" w:firstLine="698"/>
            <w:jc w:val="right"/>
          </w:pPr>
        </w:pPrChange>
      </w:pPr>
      <w:ins w:id="7" w:author="Libor Marek" w:date="2024-04-03T17:19:00Z">
        <w:r>
          <w:rPr>
            <w:rFonts w:asciiTheme="minorHAnsi" w:hAnsiTheme="minorHAnsi" w:cstheme="minorHAnsi"/>
          </w:rPr>
          <w:tab/>
        </w:r>
      </w:ins>
      <w:del w:id="8" w:author="Libor Marek" w:date="2024-04-03T13:28:00Z">
        <w:r w:rsidR="00353058" w:rsidDel="0087456F">
          <w:rPr>
            <w:rFonts w:asciiTheme="minorHAnsi" w:hAnsiTheme="minorHAnsi" w:cstheme="minorHAnsi"/>
          </w:rPr>
          <w:delText xml:space="preserve"> </w:delText>
        </w:r>
      </w:del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C42E1A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8A5A281" w:rsidR="00C42E1A" w:rsidRPr="00C42E1A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21D91F19" w:rsidR="00C42E1A" w:rsidRPr="00980431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61BD1C9C" w:rsidR="00C42E1A" w:rsidRPr="00980431" w:rsidRDefault="00C42E1A" w:rsidP="00C42E1A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6510CE20" w:rsidR="00C42E1A" w:rsidRPr="00C42E1A" w:rsidRDefault="00C42E1A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11B53E27" w:rsidR="00C42E1A" w:rsidRPr="00C42E1A" w:rsidRDefault="00C42E1A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196*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2D94214F" w:rsidR="00D366E9" w:rsidRPr="00980431" w:rsidRDefault="00C42E1A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51FCE40B" w:rsidR="00D366E9" w:rsidRPr="00980431" w:rsidRDefault="00C42E1A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196</w:t>
            </w:r>
          </w:p>
        </w:tc>
      </w:tr>
    </w:tbl>
    <w:p w14:paraId="5BE197A7" w14:textId="468FC604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C42E1A">
        <w:rPr>
          <w:rFonts w:asciiTheme="minorHAnsi" w:hAnsiTheme="minorHAnsi" w:cstheme="minorHAnsi"/>
          <w:sz w:val="20"/>
        </w:rPr>
        <w:t>4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9" w:name="_Toc160433865"/>
      <w:r w:rsidRPr="00FE4EB8">
        <w:rPr>
          <w:rFonts w:asciiTheme="minorHAnsi" w:hAnsiTheme="minorHAnsi" w:cstheme="minorHAnsi"/>
        </w:rPr>
        <w:t>Projekty IGA – nově přijaté</w:t>
      </w:r>
      <w:bookmarkEnd w:id="9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423E6DD8" w:rsidR="00A842F3" w:rsidRPr="00813313" w:rsidRDefault="009A4650">
      <w:pPr>
        <w:tabs>
          <w:tab w:val="left" w:pos="7938"/>
          <w:tab w:val="left" w:pos="8080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  <w:pPrChange w:id="10" w:author="Libor Marek" w:date="2024-04-03T17:21:00Z">
          <w:pPr>
            <w:tabs>
              <w:tab w:val="left" w:pos="7938"/>
            </w:tabs>
            <w:spacing w:after="0" w:line="259" w:lineRule="auto"/>
            <w:ind w:left="0" w:firstLine="0"/>
            <w:jc w:val="left"/>
          </w:pPr>
        </w:pPrChange>
      </w:pPr>
      <w:ins w:id="11" w:author="Libor Marek" w:date="2024-04-03T13:39:00Z">
        <w:r>
          <w:rPr>
            <w:rFonts w:asciiTheme="minorHAnsi" w:hAnsiTheme="minorHAnsi" w:cstheme="minorHAnsi"/>
            <w:szCs w:val="24"/>
          </w:rPr>
          <w:tab/>
        </w:r>
      </w:ins>
      <w:r w:rsidR="00F60097" w:rsidRPr="00813313">
        <w:rPr>
          <w:rFonts w:asciiTheme="minorHAnsi" w:hAnsiTheme="minorHAnsi" w:cstheme="minorHAnsi"/>
          <w:szCs w:val="24"/>
        </w:rPr>
        <w:t>v</w:t>
      </w:r>
      <w:del w:id="12" w:author="Libor Marek" w:date="2024-04-03T13:39:00Z">
        <w:r w:rsidR="00F60097" w:rsidRPr="00813313" w:rsidDel="009A4650">
          <w:rPr>
            <w:rFonts w:asciiTheme="minorHAnsi" w:hAnsiTheme="minorHAnsi" w:cstheme="minorHAnsi"/>
            <w:szCs w:val="24"/>
          </w:rPr>
          <w:delText xml:space="preserve"> </w:delText>
        </w:r>
      </w:del>
      <w:ins w:id="13" w:author="Libor Marek" w:date="2024-04-03T13:39:00Z">
        <w:r>
          <w:rPr>
            <w:rFonts w:asciiTheme="minorHAnsi" w:hAnsiTheme="minorHAnsi" w:cstheme="minorHAnsi"/>
            <w:szCs w:val="24"/>
          </w:rPr>
          <w:t> </w:t>
        </w:r>
      </w:ins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1E6481">
        <w:trPr>
          <w:trHeight w:val="7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E6481" w:rsidRPr="00DE0B49" w14:paraId="576BA9B5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4E5CF42C" w:rsidR="001E6481" w:rsidRPr="001E6481" w:rsidRDefault="001E6481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54D8669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Spiritualita v rámci edukačního procesu žáků středních škol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09DC6FAD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D0B9F85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76B3E6CA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149*</w:t>
            </w:r>
          </w:p>
        </w:tc>
      </w:tr>
      <w:tr w:rsidR="001E6481" w:rsidRPr="00DE0B49" w14:paraId="4E9E3B03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6D8E6FD" w:rsidR="001E6481" w:rsidRPr="00980431" w:rsidRDefault="001E6481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17F39BDF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Podpora při mimoškolním vzdělávání dětí v pěstounské péči ve Zlínském kraji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243575FA" w:rsidR="001E6481" w:rsidRPr="00980431" w:rsidRDefault="001E6481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4A4431A6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190**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6253F754" w:rsidR="001E6481" w:rsidRPr="001E6481" w:rsidRDefault="001E6481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0</w:t>
            </w:r>
          </w:p>
        </w:tc>
      </w:tr>
      <w:tr w:rsidR="00D366E9" w:rsidRPr="00DE0B49" w14:paraId="16CF3DCB" w14:textId="77777777" w:rsidTr="001E6481">
        <w:trPr>
          <w:trHeight w:val="221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3CBB2943" w:rsidR="00D366E9" w:rsidRPr="00980431" w:rsidRDefault="001E6481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210421C4" w:rsidR="00D366E9" w:rsidRPr="00980431" w:rsidRDefault="001E6481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47004E06" w14:textId="12C0F7D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</w:t>
      </w:r>
      <w:proofErr w:type="gramEnd"/>
      <w:r>
        <w:rPr>
          <w:rFonts w:asciiTheme="minorHAnsi" w:hAnsiTheme="minorHAnsi" w:cstheme="minorHAnsi"/>
          <w:sz w:val="20"/>
        </w:rPr>
        <w:t xml:space="preserve">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B36301">
        <w:rPr>
          <w:rFonts w:asciiTheme="minorHAnsi" w:hAnsiTheme="minorHAnsi" w:cstheme="minorHAnsi"/>
          <w:sz w:val="20"/>
        </w:rPr>
        <w:t>5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</w:t>
      </w:r>
      <w:r w:rsidR="00B3630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CCB4142" w14:textId="77777777" w:rsidR="001E6481" w:rsidRPr="00C844BC" w:rsidRDefault="00D22BF9" w:rsidP="001E6481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 w:rsidR="001E6481">
        <w:rPr>
          <w:rFonts w:asciiTheme="minorHAnsi" w:hAnsiTheme="minorHAnsi" w:cstheme="minorHAnsi"/>
          <w:sz w:val="20"/>
        </w:rPr>
        <w:t>* Projekt IGA/FHS/2023</w:t>
      </w:r>
      <w:r>
        <w:rPr>
          <w:rFonts w:asciiTheme="minorHAnsi" w:hAnsiTheme="minorHAnsi" w:cstheme="minorHAnsi"/>
          <w:sz w:val="20"/>
        </w:rPr>
        <w:t xml:space="preserve">/002 </w:t>
      </w:r>
      <w:r w:rsidR="001E6481">
        <w:rPr>
          <w:rFonts w:asciiTheme="minorHAnsi" w:hAnsiTheme="minorHAnsi" w:cstheme="minorHAnsi"/>
          <w:sz w:val="20"/>
        </w:rPr>
        <w:t>byl ukončen na základě předložené žádosti o předčasné ukončení projektu k datu 9. 4. 2023.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0FF0DC3C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1E6481">
        <w:rPr>
          <w:rFonts w:asciiTheme="minorHAnsi" w:hAnsiTheme="minorHAnsi" w:cstheme="minorHAnsi"/>
        </w:rPr>
        <w:t>000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</w:t>
      </w:r>
      <w:r w:rsidR="001E6481">
        <w:rPr>
          <w:rFonts w:asciiTheme="minorHAnsi" w:hAnsiTheme="minorHAnsi" w:cstheme="minorHAnsi"/>
        </w:rPr>
        <w:t>36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1E6481">
        <w:rPr>
          <w:rFonts w:asciiTheme="minorHAnsi" w:hAnsiTheme="minorHAnsi" w:cstheme="minorHAnsi"/>
        </w:rPr>
        <w:t>664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</w:t>
      </w:r>
      <w:r w:rsidR="001E6481">
        <w:rPr>
          <w:rFonts w:asciiTheme="minorHAnsi" w:hAnsiTheme="minorHAnsi" w:cstheme="minorHAnsi"/>
        </w:rPr>
        <w:t>, Fakultou logistiky a krizového řízení</w:t>
      </w:r>
      <w:r w:rsidR="00915F76" w:rsidRPr="00DE0B49">
        <w:rPr>
          <w:rFonts w:asciiTheme="minorHAnsi" w:hAnsiTheme="minorHAnsi" w:cstheme="minorHAnsi"/>
        </w:rPr>
        <w:t xml:space="preserve"> a</w:t>
      </w:r>
      <w:r w:rsidR="00B36301">
        <w:rPr>
          <w:rFonts w:asciiTheme="minorHAnsi" w:hAnsiTheme="minorHAnsi" w:cstheme="minorHAnsi"/>
        </w:rPr>
        <w:t> </w:t>
      </w:r>
      <w:r w:rsidR="00915F76" w:rsidRPr="00DE0B49">
        <w:rPr>
          <w:rFonts w:asciiTheme="minorHAnsi" w:hAnsiTheme="minorHAnsi" w:cstheme="minorHAnsi"/>
        </w:rPr>
        <w:t>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14" w:name="_Toc160433866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14"/>
      <w:proofErr w:type="spellEnd"/>
    </w:p>
    <w:p w14:paraId="0942C9F2" w14:textId="7008DB0C" w:rsidR="005B3E84" w:rsidRPr="00813313" w:rsidRDefault="008624B2">
      <w:pPr>
        <w:tabs>
          <w:tab w:val="left" w:pos="7938"/>
        </w:tabs>
        <w:jc w:val="center"/>
        <w:rPr>
          <w:szCs w:val="24"/>
        </w:rPr>
        <w:pPrChange w:id="15" w:author="Libor Marek" w:date="2024-04-03T17:21:00Z">
          <w:pPr>
            <w:jc w:val="right"/>
          </w:pPr>
        </w:pPrChange>
      </w:pPr>
      <w:ins w:id="16" w:author="Libor Marek" w:date="2024-04-03T13:31:00Z">
        <w:r>
          <w:rPr>
            <w:rFonts w:asciiTheme="minorHAnsi" w:hAnsiTheme="minorHAnsi" w:cstheme="minorHAnsi"/>
            <w:szCs w:val="24"/>
          </w:rPr>
          <w:t xml:space="preserve">                                                                                                                                         </w:t>
        </w:r>
      </w:ins>
      <w:ins w:id="17" w:author="Libor Marek" w:date="2024-04-03T17:21:00Z">
        <w:r w:rsidR="003A3E34">
          <w:rPr>
            <w:rFonts w:asciiTheme="minorHAnsi" w:hAnsiTheme="minorHAnsi" w:cstheme="minorHAnsi"/>
            <w:szCs w:val="24"/>
          </w:rPr>
          <w:t xml:space="preserve"> </w:t>
        </w:r>
      </w:ins>
      <w:r w:rsidR="005B3E84"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D773D1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45BD636C" w:rsidR="00D773D1" w:rsidRPr="00D773D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IGA-K-</w:t>
            </w:r>
            <w:proofErr w:type="spellStart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Trinity</w:t>
            </w:r>
            <w:proofErr w:type="spellEnd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/2022-23/004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2AAC25F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 xml:space="preserve">Podpora nadaných a aktivních studentů studijního programu Sociální pedagogika: Soutěž o nejlepší preventivní program ve školním a mimoškolním prostředí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0F176EAA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5D3FE3CF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3D40B67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55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*</w:t>
            </w:r>
          </w:p>
        </w:tc>
      </w:tr>
      <w:tr w:rsidR="00D773D1" w:rsidRPr="00DE0B49" w14:paraId="4F8B455C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C5BE" w14:textId="6E0CAD92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IGA-K-</w:t>
            </w:r>
            <w:proofErr w:type="spellStart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Trinity</w:t>
            </w:r>
            <w:proofErr w:type="spellEnd"/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/2022-23/005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729" w14:textId="776BAE79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Závislost jako ranhojič aneb prevence od mateřských škol až po univerzitu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E144" w14:textId="791162A5" w:rsidR="00D773D1" w:rsidRPr="00980431" w:rsidRDefault="00D773D1" w:rsidP="00D773D1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doc. PhDr. Marcela Janíková,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D196" w14:textId="2B025C8A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FD6" w14:textId="3C5B604B" w:rsidR="00D773D1" w:rsidRPr="00D773D1" w:rsidRDefault="00D773D1" w:rsidP="00D773D1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D773D1">
              <w:rPr>
                <w:rFonts w:asciiTheme="minorHAnsi" w:hAnsiTheme="minorHAnsi" w:cstheme="minorHAnsi"/>
                <w:spacing w:val="-1"/>
                <w:szCs w:val="24"/>
              </w:rPr>
              <w:t>54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**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6A88E6FB" w:rsidR="00B61D5A" w:rsidRPr="00DE0B49" w:rsidRDefault="00D773D1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3307F879" w:rsidR="00B61D5A" w:rsidRPr="00DE0B49" w:rsidRDefault="00D773D1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109</w:t>
            </w:r>
          </w:p>
        </w:tc>
      </w:tr>
    </w:tbl>
    <w:p w14:paraId="240AAD6B" w14:textId="7DA04A71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773D1">
        <w:rPr>
          <w:rFonts w:asciiTheme="minorHAnsi" w:hAnsiTheme="minorHAnsi" w:cstheme="minorHAnsi"/>
          <w:sz w:val="20"/>
        </w:rPr>
        <w:t>55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5120631" w14:textId="0E034489" w:rsidR="00D773D1" w:rsidRDefault="00D773D1" w:rsidP="00D773D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54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954CB90" w14:textId="77777777" w:rsidR="00D773D1" w:rsidRDefault="00D773D1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60433867"/>
      <w:r w:rsidRPr="00FE4EB8">
        <w:rPr>
          <w:rFonts w:asciiTheme="minorHAnsi" w:hAnsiTheme="minorHAnsi" w:cstheme="minorHAnsi"/>
        </w:rPr>
        <w:t>Institucionální plán UTB ve Zlíně</w:t>
      </w:r>
      <w:bookmarkEnd w:id="18"/>
    </w:p>
    <w:p w14:paraId="04E95D5D" w14:textId="1EC84490" w:rsidR="00465FEB" w:rsidRPr="00813313" w:rsidRDefault="00032D1A">
      <w:pPr>
        <w:spacing w:after="3" w:line="264" w:lineRule="auto"/>
        <w:ind w:left="21" w:right="3"/>
        <w:jc w:val="center"/>
        <w:rPr>
          <w:rFonts w:asciiTheme="minorHAnsi" w:hAnsiTheme="minorHAnsi" w:cstheme="minorHAnsi"/>
          <w:szCs w:val="24"/>
        </w:rPr>
        <w:pPrChange w:id="19" w:author="Libor Marek" w:date="2024-04-03T13:33:00Z">
          <w:pPr>
            <w:spacing w:after="3" w:line="264" w:lineRule="auto"/>
            <w:ind w:left="21" w:right="3"/>
            <w:jc w:val="right"/>
          </w:pPr>
        </w:pPrChange>
      </w:pPr>
      <w:ins w:id="20" w:author="Libor Marek" w:date="2024-04-03T13:33:00Z">
        <w:r>
          <w:rPr>
            <w:rFonts w:asciiTheme="minorHAnsi" w:hAnsiTheme="minorHAnsi" w:cstheme="minorHAnsi"/>
            <w:sz w:val="22"/>
          </w:rPr>
          <w:t xml:space="preserve">                                                                                                                                                    </w:t>
        </w:r>
      </w:ins>
      <w:ins w:id="21" w:author="Libor Marek" w:date="2024-04-03T17:21:00Z">
        <w:r w:rsidR="003A3E34">
          <w:rPr>
            <w:rFonts w:asciiTheme="minorHAnsi" w:hAnsiTheme="minorHAnsi" w:cstheme="minorHAnsi"/>
            <w:sz w:val="22"/>
          </w:rPr>
          <w:t xml:space="preserve"> </w:t>
        </w:r>
      </w:ins>
      <w:del w:id="22" w:author="Libor Marek" w:date="2024-04-03T13:33:00Z">
        <w:r w:rsidR="00353058" w:rsidDel="00032D1A">
          <w:rPr>
            <w:rFonts w:asciiTheme="minorHAnsi" w:hAnsiTheme="minorHAnsi" w:cstheme="minorHAnsi"/>
            <w:sz w:val="22"/>
          </w:rPr>
          <w:delText xml:space="preserve"> </w:delText>
        </w:r>
      </w:del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47A5A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F47A5A" w:rsidRDefault="00F47A5A" w:rsidP="00F47A5A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56E034A9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2AF5F665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3EB581F0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F47A5A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2C3D18B1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výjezd Verona University, Itálie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0AE361B5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2DCF646A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24263AA4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</w:tr>
      <w:tr w:rsidR="00F47A5A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416220A8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Anna </w:t>
            </w:r>
            <w:proofErr w:type="spellStart"/>
            <w:r>
              <w:rPr>
                <w:rFonts w:asciiTheme="minorHAnsi" w:hAnsiTheme="minorHAnsi" w:cstheme="minorHAnsi"/>
              </w:rPr>
              <w:t>Odrowaz-Coates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4487D668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6E923EB1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5C63B760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</w:tr>
      <w:tr w:rsidR="00F47A5A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305AB927" w:rsidR="00F47A5A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 xml:space="preserve">spolupráce – příjezd dr. Michael </w:t>
            </w:r>
            <w:proofErr w:type="spellStart"/>
            <w:r>
              <w:rPr>
                <w:rFonts w:asciiTheme="minorHAnsi" w:hAnsiTheme="minorHAnsi" w:cstheme="minorHAnsi"/>
              </w:rPr>
              <w:t>Rugh</w:t>
            </w:r>
            <w:proofErr w:type="spell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300889EB" w:rsidR="00F47A5A" w:rsidRPr="00CB4D7E" w:rsidRDefault="00F47A5A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55910DD4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 w:rsidRPr="00CB7F3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03C91A5F" w:rsidR="00F47A5A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</w:tr>
      <w:tr w:rsidR="00F47A5A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F47A5A" w:rsidRPr="00820CF0" w:rsidRDefault="00F47A5A" w:rsidP="00F47A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F47A5A" w:rsidRPr="00820CF0" w:rsidRDefault="00F47A5A" w:rsidP="00F47A5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5DB208AF" w:rsidR="00F47A5A" w:rsidRPr="00820CF0" w:rsidRDefault="00F47A5A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6E41D2B7" w:rsidR="00F47A5A" w:rsidRPr="00820CF0" w:rsidRDefault="00F47A5A" w:rsidP="00F47A5A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667B8DCA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6BAA5215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001BEB31" w14:textId="74715E76" w:rsidR="00B75BCA" w:rsidRDefault="00B75BCA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3C41DD2A" w14:textId="77777777" w:rsidR="00B75BCA" w:rsidRDefault="00B75BCA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60433868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23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337727D2" w:rsidR="00F15335" w:rsidRDefault="00032D1A">
      <w:pPr>
        <w:tabs>
          <w:tab w:val="left" w:pos="3390"/>
          <w:tab w:val="left" w:pos="7938"/>
          <w:tab w:val="left" w:pos="8080"/>
        </w:tabs>
        <w:jc w:val="center"/>
        <w:rPr>
          <w:rFonts w:asciiTheme="minorHAnsi" w:hAnsiTheme="minorHAnsi" w:cstheme="minorHAnsi"/>
        </w:rPr>
        <w:pPrChange w:id="24" w:author="Libor Marek" w:date="2024-04-03T17:22:00Z">
          <w:pPr>
            <w:tabs>
              <w:tab w:val="left" w:pos="3390"/>
            </w:tabs>
            <w:jc w:val="right"/>
          </w:pPr>
        </w:pPrChange>
      </w:pPr>
      <w:ins w:id="25" w:author="Libor Marek" w:date="2024-04-03T13:33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</w:t>
        </w:r>
      </w:ins>
      <w:ins w:id="26" w:author="Libor Marek" w:date="2024-04-03T17:21:00Z">
        <w:r w:rsidR="003A3E34">
          <w:rPr>
            <w:rFonts w:asciiTheme="minorHAnsi" w:hAnsiTheme="minorHAnsi" w:cstheme="minorHAnsi"/>
          </w:rPr>
          <w:t xml:space="preserve">         </w:t>
        </w:r>
      </w:ins>
      <w:del w:id="27" w:author="Libor Marek" w:date="2024-04-03T17:21:00Z">
        <w:r w:rsidR="00F15335" w:rsidDel="003A3E34">
          <w:rPr>
            <w:rFonts w:asciiTheme="minorHAnsi" w:hAnsiTheme="minorHAnsi" w:cstheme="minorHAnsi"/>
          </w:rPr>
          <w:tab/>
        </w:r>
      </w:del>
      <w:r w:rsidR="00F15335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854324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854324" w:rsidRPr="00FE4EB8" w14:paraId="07C39E21" w14:textId="77777777" w:rsidTr="0085432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17B" w14:textId="558E183C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FSR FORD 5-6 /2022-23/FHS/001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977" w14:textId="2C2A732E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31193FC2" w:rsidR="00854324" w:rsidRPr="008A6EDA" w:rsidRDefault="0085432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55878AD5" w:rsidR="00854324" w:rsidRPr="00FE4EB8" w:rsidRDefault="00854324" w:rsidP="00854324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50FA888E" w:rsidR="00854324" w:rsidRPr="00FE4EB8" w:rsidRDefault="00582923" w:rsidP="00854324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181*</w:t>
            </w:r>
          </w:p>
        </w:tc>
      </w:tr>
      <w:tr w:rsidR="00F15335" w:rsidRPr="00FE4EB8" w14:paraId="46F448A9" w14:textId="77777777" w:rsidTr="00854324">
        <w:trPr>
          <w:trHeight w:val="13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3E702675" w:rsidR="00F15335" w:rsidRPr="00FE4EB8" w:rsidRDefault="00582923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7C4AB27A" w:rsidR="00F15335" w:rsidRPr="00FE4EB8" w:rsidRDefault="00582923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181</w:t>
            </w:r>
          </w:p>
        </w:tc>
      </w:tr>
    </w:tbl>
    <w:p w14:paraId="239717EE" w14:textId="406681D8" w:rsidR="00582923" w:rsidRDefault="00582923" w:rsidP="00582923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231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50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53189FD4" w:rsidR="00060CB7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28" w:name="_Toc160433869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</w:t>
      </w:r>
      <w:r w:rsidR="002B3236">
        <w:rPr>
          <w:rFonts w:asciiTheme="minorHAnsi" w:hAnsiTheme="minorHAnsi" w:cstheme="minorHAnsi"/>
        </w:rPr>
        <w:t>DK</w:t>
      </w:r>
      <w:r w:rsidRPr="00FE4EB8">
        <w:rPr>
          <w:rFonts w:asciiTheme="minorHAnsi" w:hAnsiTheme="minorHAnsi" w:cstheme="minorHAnsi"/>
        </w:rPr>
        <w:t xml:space="preserve">RVO </w:t>
      </w:r>
      <w:r w:rsidR="00582923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dotace</w:t>
      </w:r>
      <w:bookmarkEnd w:id="28"/>
    </w:p>
    <w:p w14:paraId="2BD95D08" w14:textId="3F689D1B" w:rsidR="00582923" w:rsidRDefault="00582923" w:rsidP="00582923"/>
    <w:p w14:paraId="1C86A194" w14:textId="77777777" w:rsidR="00582923" w:rsidRDefault="00582923" w:rsidP="005829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A/ Interní projekty</w:t>
      </w:r>
    </w:p>
    <w:p w14:paraId="4CB558BB" w14:textId="7D3F6C6A" w:rsidR="00060CB7" w:rsidRPr="00060CB7" w:rsidRDefault="002C3940">
      <w:pPr>
        <w:tabs>
          <w:tab w:val="left" w:pos="7938"/>
          <w:tab w:val="left" w:pos="8080"/>
        </w:tabs>
        <w:pPrChange w:id="29" w:author="Libor Marek" w:date="2024-04-03T17:23:00Z">
          <w:pPr/>
        </w:pPrChange>
      </w:pPr>
      <w:ins w:id="30" w:author="Libor Marek" w:date="2024-04-03T13:35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               </w:t>
        </w:r>
      </w:ins>
      <w:ins w:id="31" w:author="Libor Marek" w:date="2024-04-03T17:22:00Z">
        <w:r w:rsidR="003A3E34">
          <w:rPr>
            <w:rFonts w:asciiTheme="minorHAnsi" w:hAnsiTheme="minorHAnsi" w:cstheme="minorHAnsi"/>
          </w:rPr>
          <w:t xml:space="preserve"> </w:t>
        </w:r>
      </w:ins>
      <w:ins w:id="32" w:author="Libor Marek" w:date="2024-04-03T13:34:00Z">
        <w:r w:rsidRPr="00FE4EB8">
          <w:rPr>
            <w:rFonts w:asciiTheme="minorHAnsi" w:hAnsiTheme="minorHAnsi" w:cstheme="minorHAnsi"/>
          </w:rPr>
          <w:t>v tis. Kč</w:t>
        </w:r>
      </w:ins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82923" w:rsidRPr="00FE4EB8" w14:paraId="405B79DA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2429AA7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CA8E4" w14:textId="6577A776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Sociální a kulturní podmínky vzdělávání dětí, mládeže a dospělých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1BABCA6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52C22E52" w:rsidR="00582923" w:rsidRPr="00FE4EB8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982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581B6BF9" w:rsidR="00582923" w:rsidRPr="00FE4EB8" w:rsidRDefault="006970F8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1 097</w:t>
            </w:r>
          </w:p>
        </w:tc>
      </w:tr>
      <w:tr w:rsidR="00582923" w:rsidRPr="00FE4EB8" w14:paraId="071690CE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0D1B7EA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DAB9D" w14:textId="7F9305B4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82923">
              <w:rPr>
                <w:rFonts w:asciiTheme="minorHAnsi" w:hAnsiTheme="minorHAnsi" w:cstheme="minorHAnsi"/>
              </w:rPr>
              <w:t>Transdisciplinarita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v kurikulu a výuce v </w:t>
            </w:r>
            <w:proofErr w:type="spellStart"/>
            <w:r w:rsidRPr="00582923">
              <w:rPr>
                <w:rFonts w:asciiTheme="minorHAnsi" w:hAnsiTheme="minorHAnsi" w:cstheme="minorHAnsi"/>
              </w:rPr>
              <w:t>preprimárním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a primárním vzdělávání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56C20658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2B50C89E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0B1CED5B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582923" w:rsidRPr="00FE4EB8" w14:paraId="04CCA22B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43E9530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D7AD8" w14:textId="569E5FC3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Vliv osobnostních a pracovních faktorů na vzdělávání dospělé populace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0906F555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3FAE31F4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1 266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52AEAE79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1 286</w:t>
            </w:r>
          </w:p>
        </w:tc>
      </w:tr>
      <w:tr w:rsidR="00582923" w:rsidRPr="00FE4EB8" w14:paraId="4BC13CAE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6DBF9CE9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7DCBD" w14:textId="1A096162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Současné trendy v jazyce a kultuře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4335DF59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44D9574F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425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630CB7E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608</w:t>
            </w:r>
          </w:p>
        </w:tc>
      </w:tr>
      <w:tr w:rsidR="00582923" w:rsidRPr="00FE4EB8" w14:paraId="1667AE36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8A0DE67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259D7" w14:textId="020318B0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Biopsychosociální aspekty 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9920B1E" w:rsidR="00582923" w:rsidRPr="008978C9" w:rsidRDefault="00582923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 w:rsidR="006970F8"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>, Ph</w:t>
            </w:r>
            <w:r w:rsidR="006970F8"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D33FD01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381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269DFCE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287</w:t>
            </w:r>
          </w:p>
        </w:tc>
      </w:tr>
      <w:tr w:rsidR="00582923" w:rsidRPr="00FE4EB8" w14:paraId="33277E95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30A3893B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lastRenderedPageBreak/>
              <w:t>RO60231016025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6F55" w14:textId="4B4929F1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6F25DBF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5D6893AC" w:rsidR="00582923" w:rsidRPr="008978C9" w:rsidRDefault="00582923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587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46636F80" w:rsidR="00582923" w:rsidRPr="008978C9" w:rsidRDefault="006970F8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398056C3" w:rsidR="00060CB7" w:rsidRPr="00FE4EB8" w:rsidRDefault="006970F8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4 341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424E41A7" w:rsidR="00060CB7" w:rsidRPr="00FE4EB8" w:rsidRDefault="006970F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4 076</w:t>
            </w:r>
          </w:p>
        </w:tc>
      </w:tr>
    </w:tbl>
    <w:p w14:paraId="47D7561C" w14:textId="2B0F5DF2" w:rsidR="00060CB7" w:rsidRDefault="00060CB7" w:rsidP="00060CB7"/>
    <w:p w14:paraId="32B53962" w14:textId="77777777" w:rsidR="006970F8" w:rsidRDefault="006970F8" w:rsidP="00697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1EC24A38" w14:textId="4D57851D" w:rsidR="00582923" w:rsidRDefault="002C3940" w:rsidP="00060CB7">
      <w:ins w:id="33" w:author="Libor Marek" w:date="2024-04-03T13:35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                </w:t>
        </w:r>
        <w:r w:rsidRPr="00FE4EB8">
          <w:rPr>
            <w:rFonts w:asciiTheme="minorHAnsi" w:hAnsiTheme="minorHAnsi" w:cstheme="minorHAnsi"/>
          </w:rPr>
          <w:t>v tis. Kč</w:t>
        </w:r>
      </w:ins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6970F8" w:rsidRPr="00D04A38" w14:paraId="66C6B981" w14:textId="77777777" w:rsidTr="009453B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2B4DDC0" w14:textId="77777777" w:rsidR="006970F8" w:rsidRPr="00D04A38" w:rsidRDefault="006970F8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FABD4CF" w14:textId="77777777" w:rsidR="006970F8" w:rsidRPr="00D04A38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0FDCAB" w14:textId="77777777" w:rsidR="006970F8" w:rsidRPr="007F03CD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91734B" w14:textId="77777777" w:rsidR="006970F8" w:rsidRPr="00D04A38" w:rsidRDefault="006970F8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010917" w14:textId="77777777" w:rsidR="006970F8" w:rsidRPr="00D04A38" w:rsidRDefault="006970F8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970F8" w:rsidRPr="00FE4EB8" w14:paraId="442BEC22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755" w14:textId="2BC062F6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E02E" w14:textId="5CC3BACA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88E" w14:textId="7C69E899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33D" w14:textId="45CF1B01" w:rsidR="006970F8" w:rsidRPr="00FE4EB8" w:rsidRDefault="006970F8" w:rsidP="006970F8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3 956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8B53" w14:textId="6EE78453" w:rsidR="006970F8" w:rsidRPr="00FE4EB8" w:rsidRDefault="006970F8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4 221</w:t>
            </w:r>
          </w:p>
        </w:tc>
      </w:tr>
      <w:tr w:rsidR="006970F8" w:rsidRPr="00FE4EB8" w14:paraId="50978EA7" w14:textId="77777777" w:rsidTr="009453B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EC61" w14:textId="77777777" w:rsidR="006970F8" w:rsidRPr="00FE4EB8" w:rsidRDefault="006970F8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47B0" w14:textId="77777777" w:rsidR="006970F8" w:rsidRPr="00FE4EB8" w:rsidRDefault="006970F8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DEB" w14:textId="52147812" w:rsidR="006970F8" w:rsidRPr="00FE4EB8" w:rsidRDefault="006970F8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3 956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842" w14:textId="13352468" w:rsidR="006970F8" w:rsidRPr="00FE4EB8" w:rsidRDefault="006970F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4 221</w:t>
            </w:r>
          </w:p>
        </w:tc>
      </w:tr>
    </w:tbl>
    <w:p w14:paraId="5A8C74BB" w14:textId="45CE5752" w:rsidR="00582923" w:rsidRDefault="00582923" w:rsidP="00060CB7"/>
    <w:p w14:paraId="0F465A29" w14:textId="77777777" w:rsidR="00B75BCA" w:rsidRDefault="00B75BCA" w:rsidP="00B75BCA">
      <w:pPr>
        <w:pStyle w:val="Nadpis2"/>
        <w:ind w:left="709" w:hanging="709"/>
        <w:rPr>
          <w:rFonts w:asciiTheme="minorHAnsi" w:hAnsiTheme="minorHAnsi" w:cstheme="minorHAnsi"/>
        </w:rPr>
      </w:pPr>
      <w:bookmarkStart w:id="34" w:name="_Toc160433870"/>
      <w:r>
        <w:rPr>
          <w:rFonts w:asciiTheme="minorHAnsi" w:hAnsiTheme="minorHAnsi" w:cstheme="minorHAnsi"/>
        </w:rPr>
        <w:t>Ukazatel P</w:t>
      </w:r>
      <w:bookmarkEnd w:id="34"/>
    </w:p>
    <w:p w14:paraId="18FD9DDB" w14:textId="77777777" w:rsidR="00B75BCA" w:rsidRDefault="00B75BCA" w:rsidP="00B75BCA"/>
    <w:p w14:paraId="549D8E8F" w14:textId="28D9B2F1" w:rsidR="00B75BCA" w:rsidRPr="00FA2B1C" w:rsidRDefault="002C3940">
      <w:pPr>
        <w:rPr>
          <w:rFonts w:asciiTheme="minorHAnsi" w:hAnsiTheme="minorHAnsi" w:cstheme="minorHAnsi"/>
        </w:rPr>
        <w:pPrChange w:id="35" w:author="Libor Marek" w:date="2024-04-03T13:35:00Z">
          <w:pPr>
            <w:ind w:left="7090" w:firstLine="698"/>
          </w:pPr>
        </w:pPrChange>
      </w:pPr>
      <w:ins w:id="36" w:author="Libor Marek" w:date="2024-04-03T13:35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     </w:t>
        </w:r>
      </w:ins>
      <w:r w:rsidR="00B75BCA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559"/>
      </w:tblGrid>
      <w:tr w:rsidR="00B75BCA" w:rsidRPr="00D04A38" w14:paraId="46DB7835" w14:textId="77777777" w:rsidTr="00F41809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72E009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1099C2D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B93B32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20C6A0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0E3AF" w14:textId="77777777" w:rsidR="00B75BCA" w:rsidRPr="00E5106A" w:rsidRDefault="00B75BCA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75BCA" w:rsidRPr="00FE4EB8" w14:paraId="0AB1E78C" w14:textId="77777777" w:rsidTr="00F41809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59A" w14:textId="77777777" w:rsidR="00B75BCA" w:rsidRPr="00FA2B1C" w:rsidRDefault="00B75BCA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8AC" w14:textId="77777777" w:rsidR="00B75BCA" w:rsidRPr="00FA2B1C" w:rsidRDefault="00B75BCA" w:rsidP="009453B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E8D" w14:textId="77777777" w:rsidR="00B75BCA" w:rsidRPr="00FA2B1C" w:rsidRDefault="00B75BCA" w:rsidP="009453B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64F" w14:textId="1DD1E81E" w:rsidR="00B75BCA" w:rsidRPr="00FA2B1C" w:rsidRDefault="00B75BCA" w:rsidP="00B75BC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2A7" w14:textId="6DDC246A" w:rsidR="00B75BCA" w:rsidRPr="00FA2B1C" w:rsidRDefault="00B75BCA" w:rsidP="00B75BC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3 346</w:t>
            </w:r>
          </w:p>
        </w:tc>
      </w:tr>
      <w:tr w:rsidR="00B75BCA" w:rsidRPr="00FE4EB8" w14:paraId="2D04630A" w14:textId="77777777" w:rsidTr="00F41809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865" w14:textId="77777777" w:rsidR="00B75BCA" w:rsidRPr="00820CF0" w:rsidRDefault="00B75BCA" w:rsidP="009453B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FEC" w14:textId="05C0E4CF" w:rsidR="00B75BCA" w:rsidRPr="00FA2B1C" w:rsidRDefault="00B75BCA" w:rsidP="00B75BC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36B" w14:textId="7EE828C9" w:rsidR="00B75BCA" w:rsidRPr="00FA2B1C" w:rsidRDefault="00B75BCA" w:rsidP="00B75BC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3 346</w:t>
            </w:r>
          </w:p>
        </w:tc>
      </w:tr>
    </w:tbl>
    <w:p w14:paraId="1C583128" w14:textId="77777777" w:rsidR="00B75BCA" w:rsidRPr="00FA2B1C" w:rsidRDefault="00B75BCA" w:rsidP="00B75BCA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37" w:name="_Toc160433871"/>
      <w:r w:rsidRPr="009E4614">
        <w:rPr>
          <w:rFonts w:asciiTheme="minorHAnsi" w:hAnsiTheme="minorHAnsi" w:cstheme="minorHAnsi"/>
        </w:rPr>
        <w:t>Přehled projektových dotací</w:t>
      </w:r>
      <w:bookmarkEnd w:id="37"/>
    </w:p>
    <w:p w14:paraId="35073C85" w14:textId="15CC9D8C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</w:t>
      </w:r>
      <w:r w:rsidR="009B7C0A">
        <w:rPr>
          <w:rFonts w:asciiTheme="minorHAnsi" w:hAnsiTheme="minorHAnsi" w:cstheme="minorHAnsi"/>
        </w:rPr>
        <w:t>m</w:t>
      </w:r>
      <w:r w:rsidR="00BC625A">
        <w:rPr>
          <w:rFonts w:asciiTheme="minorHAnsi" w:hAnsiTheme="minorHAnsi" w:cstheme="minorHAnsi"/>
        </w:rPr>
        <w:t xml:space="preserve"> program</w:t>
      </w:r>
      <w:r w:rsidR="009B7C0A">
        <w:rPr>
          <w:rFonts w:asciiTheme="minorHAnsi" w:hAnsiTheme="minorHAnsi" w:cstheme="minorHAnsi"/>
        </w:rPr>
        <w:t>em</w:t>
      </w:r>
      <w:r w:rsidR="00BC625A">
        <w:rPr>
          <w:rFonts w:asciiTheme="minorHAnsi" w:hAnsiTheme="minorHAnsi" w:cstheme="minorHAnsi"/>
        </w:rPr>
        <w:t xml:space="preserve"> obnovy</w:t>
      </w:r>
      <w:r w:rsidR="00B75BCA">
        <w:rPr>
          <w:rFonts w:asciiTheme="minorHAnsi" w:hAnsiTheme="minorHAnsi" w:cstheme="minorHAnsi"/>
        </w:rPr>
        <w:t xml:space="preserve"> a</w:t>
      </w:r>
      <w:r w:rsidR="007B59AF">
        <w:rPr>
          <w:rFonts w:asciiTheme="minorHAnsi" w:hAnsiTheme="minorHAnsi" w:cstheme="minorHAnsi"/>
        </w:rPr>
        <w:t xml:space="preserve"> smluvní</w:t>
      </w:r>
      <w:r w:rsidR="009B7C0A">
        <w:rPr>
          <w:rFonts w:asciiTheme="minorHAnsi" w:hAnsiTheme="minorHAnsi" w:cstheme="minorHAnsi"/>
        </w:rPr>
        <w:t>m</w:t>
      </w:r>
      <w:r w:rsidR="007B59AF">
        <w:rPr>
          <w:rFonts w:asciiTheme="minorHAnsi" w:hAnsiTheme="minorHAnsi" w:cstheme="minorHAnsi"/>
        </w:rPr>
        <w:t xml:space="preserve"> výzkum</w:t>
      </w:r>
      <w:r w:rsidR="009B7C0A">
        <w:rPr>
          <w:rFonts w:asciiTheme="minorHAnsi" w:hAnsiTheme="minorHAnsi" w:cstheme="minorHAnsi"/>
        </w:rPr>
        <w:t>em</w:t>
      </w:r>
      <w:r w:rsidR="008D2E7F" w:rsidRPr="00FE4EB8">
        <w:rPr>
          <w:rFonts w:asciiTheme="minorHAnsi" w:hAnsiTheme="minorHAnsi" w:cstheme="minorHAnsi"/>
        </w:rPr>
        <w:t>.</w:t>
      </w:r>
    </w:p>
    <w:p w14:paraId="06CEAC8C" w14:textId="41BE2145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60F2690" w14:textId="7E473BA0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0DC756C0" w14:textId="3357AD56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45A18ED0" w14:textId="61F0A1D8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677DC4F7" w14:textId="5EFA2E57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ED0AE0D" w14:textId="77777777" w:rsidR="00421D01" w:rsidRDefault="00421D01" w:rsidP="00991F93">
      <w:pPr>
        <w:spacing w:before="240"/>
        <w:ind w:right="4"/>
        <w:rPr>
          <w:rFonts w:asciiTheme="minorHAnsi" w:hAnsiTheme="minorHAnsi" w:cstheme="minorHAnsi"/>
        </w:rPr>
      </w:pP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38" w:name="_Toc160433872"/>
      <w:r w:rsidRPr="008A6EDA">
        <w:rPr>
          <w:rFonts w:asciiTheme="minorHAnsi" w:hAnsiTheme="minorHAnsi" w:cstheme="minorHAnsi"/>
        </w:rPr>
        <w:t>Projekt TA ČR</w:t>
      </w:r>
      <w:bookmarkEnd w:id="38"/>
    </w:p>
    <w:p w14:paraId="2D53FF15" w14:textId="614C8C64" w:rsidR="008A6EDA" w:rsidRPr="00E7383D" w:rsidRDefault="002202FA">
      <w:pPr>
        <w:tabs>
          <w:tab w:val="left" w:pos="7938"/>
        </w:tabs>
        <w:ind w:left="0" w:firstLine="0"/>
        <w:jc w:val="center"/>
        <w:rPr>
          <w:rFonts w:asciiTheme="minorHAnsi" w:hAnsiTheme="minorHAnsi" w:cstheme="minorHAnsi"/>
        </w:rPr>
        <w:pPrChange w:id="39" w:author="Libor Marek" w:date="2024-04-03T17:23:00Z">
          <w:pPr>
            <w:ind w:left="0" w:firstLine="0"/>
            <w:jc w:val="right"/>
          </w:pPr>
        </w:pPrChange>
      </w:pPr>
      <w:ins w:id="40" w:author="Libor Marek" w:date="2024-04-03T13:36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         </w:t>
        </w:r>
      </w:ins>
      <w:ins w:id="41" w:author="Libor Marek" w:date="2024-04-03T17:23:00Z">
        <w:r w:rsidR="003A3E34">
          <w:rPr>
            <w:rFonts w:asciiTheme="minorHAnsi" w:hAnsiTheme="minorHAnsi" w:cstheme="minorHAnsi"/>
          </w:rPr>
          <w:t xml:space="preserve"> </w:t>
        </w:r>
      </w:ins>
      <w:r w:rsidR="00F15335"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  <w:tblPrChange w:id="42" w:author="Libor Marek" w:date="2024-04-03T17:27:00Z">
          <w:tblPr>
            <w:tblStyle w:val="TableGrid"/>
            <w:tblW w:w="9306" w:type="dxa"/>
            <w:tblInd w:w="1" w:type="dxa"/>
            <w:tblCellMar>
              <w:top w:w="132" w:type="dxa"/>
              <w:left w:w="68" w:type="dxa"/>
              <w:bottom w:w="4" w:type="dxa"/>
              <w:right w:w="13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12"/>
        <w:gridCol w:w="3685"/>
        <w:gridCol w:w="1960"/>
        <w:gridCol w:w="1301"/>
        <w:gridCol w:w="948"/>
        <w:tblGridChange w:id="43">
          <w:tblGrid>
            <w:gridCol w:w="1412"/>
            <w:gridCol w:w="3685"/>
            <w:gridCol w:w="1960"/>
            <w:gridCol w:w="1301"/>
            <w:gridCol w:w="948"/>
          </w:tblGrid>
        </w:tblGridChange>
      </w:tblGrid>
      <w:tr w:rsidR="008A6EDA" w:rsidRPr="00D04A38" w14:paraId="6A8348EC" w14:textId="77777777" w:rsidTr="00D83809">
        <w:trPr>
          <w:trHeight w:val="478"/>
          <w:trPrChange w:id="44" w:author="Libor Marek" w:date="2024-04-03T17:27:00Z">
            <w:trPr>
              <w:trHeight w:val="478"/>
            </w:trPr>
          </w:trPrChange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45" w:author="Libor Marek" w:date="2024-04-03T17:27:00Z">
              <w:tcPr>
                <w:tcW w:w="1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46" w:author="Libor Marek" w:date="2024-04-03T17:27:00Z">
              <w:tcPr>
                <w:tcW w:w="36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47" w:author="Libor Marek" w:date="2024-04-03T17:27:00Z">
              <w:tcPr>
                <w:tcW w:w="19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48" w:author="Libor Marek" w:date="2024-04-03T17:27:00Z">
              <w:tcPr>
                <w:tcW w:w="13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49" w:author="Libor Marek" w:date="2024-04-03T17:27:00Z">
              <w:tcPr>
                <w:tcW w:w="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5BCA" w:rsidRPr="00FE4EB8" w14:paraId="0C40FFE9" w14:textId="77777777" w:rsidTr="00D83809">
        <w:trPr>
          <w:trHeight w:val="890"/>
          <w:trPrChange w:id="50" w:author="Libor Marek" w:date="2024-04-03T17:27:00Z">
            <w:trPr>
              <w:trHeight w:val="890"/>
            </w:trPr>
          </w:trPrChange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" w:author="Libor Marek" w:date="2024-04-03T17:27:00Z">
              <w:tcPr>
                <w:tcW w:w="1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AA3ECD6" w14:textId="6AF66755" w:rsidR="00B75BCA" w:rsidRPr="008A6EDA" w:rsidRDefault="00B75BCA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" w:author="Libor Marek" w:date="2024-04-03T17:27:00Z">
              <w:tcPr>
                <w:tcW w:w="36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3474766" w14:textId="77777777" w:rsidR="00B75BCA" w:rsidRPr="00B75BCA" w:rsidRDefault="00B75BCA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2DC1C45B" w14:textId="608AC103" w:rsidR="00B75BCA" w:rsidRPr="008A6EDA" w:rsidRDefault="00B75BCA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" w:author="Libor Marek" w:date="2024-04-03T17:27:00Z">
              <w:tcPr>
                <w:tcW w:w="19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D969F23" w14:textId="24A4B92C" w:rsidR="00B75BCA" w:rsidRPr="008A6EDA" w:rsidRDefault="00B75BCA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" w:author="Libor Marek" w:date="2024-04-03T17:27:00Z">
              <w:tcPr>
                <w:tcW w:w="1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663F7E1" w14:textId="3AB0B810" w:rsidR="00B75BCA" w:rsidRDefault="00B75BCA" w:rsidP="00B75BCA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B75BCA">
              <w:rPr>
                <w:rFonts w:asciiTheme="minorHAnsi" w:hAnsiTheme="minorHAnsi" w:cstheme="minorHAnsi"/>
              </w:rPr>
              <w:t>386*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" w:author="Libor Marek" w:date="2024-04-03T17:27:00Z">
              <w:tcPr>
                <w:tcW w:w="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4293773" w14:textId="050FC545" w:rsidR="00B75BCA" w:rsidRDefault="00F9055B" w:rsidP="00F9055B">
            <w:pPr>
              <w:shd w:val="clear" w:color="auto" w:fill="FFFFFF"/>
              <w:ind w:right="-56"/>
              <w:jc w:val="center"/>
              <w:rPr>
                <w:rFonts w:asciiTheme="minorHAnsi" w:hAnsiTheme="minorHAnsi" w:cstheme="minorHAnsi"/>
              </w:rPr>
              <w:pPrChange w:id="56" w:author="Libor Marek" w:date="2024-04-03T17:48:00Z">
                <w:pPr>
                  <w:shd w:val="clear" w:color="auto" w:fill="FFFFFF"/>
                  <w:ind w:right="53"/>
                  <w:jc w:val="right"/>
                </w:pPr>
              </w:pPrChange>
            </w:pPr>
            <w:ins w:id="57" w:author="Libor Marek" w:date="2024-04-03T17:48:00Z">
              <w:r>
                <w:rPr>
                  <w:rFonts w:asciiTheme="minorHAnsi" w:hAnsiTheme="minorHAnsi" w:cstheme="minorHAnsi"/>
                </w:rPr>
                <w:t xml:space="preserve">      </w:t>
              </w:r>
            </w:ins>
            <w:bookmarkStart w:id="58" w:name="_GoBack"/>
            <w:bookmarkEnd w:id="58"/>
            <w:r w:rsidR="00B75BCA" w:rsidRPr="00B75BCA">
              <w:rPr>
                <w:rFonts w:asciiTheme="minorHAnsi" w:hAnsiTheme="minorHAnsi" w:cstheme="minorHAnsi"/>
              </w:rPr>
              <w:t>386</w:t>
            </w:r>
          </w:p>
        </w:tc>
      </w:tr>
      <w:tr w:rsidR="008A6EDA" w:rsidRPr="00FE4EB8" w14:paraId="2B4BEBDC" w14:textId="77777777" w:rsidTr="00D83809">
        <w:trPr>
          <w:trHeight w:val="13"/>
          <w:trPrChange w:id="59" w:author="Libor Marek" w:date="2024-04-03T17:27:00Z">
            <w:trPr>
              <w:trHeight w:val="13"/>
            </w:trPr>
          </w:trPrChange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tcPrChange w:id="60" w:author="Libor Marek" w:date="2024-04-03T17:27:00Z">
              <w:tcPr>
                <w:tcW w:w="50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PrChange w:id="61" w:author="Libor Marek" w:date="2024-04-03T17:27:00Z">
              <w:tcPr>
                <w:tcW w:w="1960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" w:author="Libor Marek" w:date="2024-04-03T17:27:00Z">
              <w:tcPr>
                <w:tcW w:w="13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54D1358" w14:textId="0E1E6F4D" w:rsidR="008A6EDA" w:rsidRPr="00FE4EB8" w:rsidRDefault="00B75BCA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3" w:author="Libor Marek" w:date="2024-04-03T17:27:00Z">
              <w:tcPr>
                <w:tcW w:w="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8EBDB62" w14:textId="74C3645F" w:rsidR="008A6EDA" w:rsidRPr="00FE4EB8" w:rsidRDefault="00B75BCA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386</w:t>
            </w:r>
          </w:p>
        </w:tc>
      </w:tr>
    </w:tbl>
    <w:p w14:paraId="068F0C8C" w14:textId="77777777" w:rsidR="00B75BCA" w:rsidRPr="00C844BC" w:rsidRDefault="00B75BCA" w:rsidP="00B75B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483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386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97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64" w:name="_Toc160433873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64"/>
      <w:proofErr w:type="spellEnd"/>
    </w:p>
    <w:p w14:paraId="698BF864" w14:textId="66D989BC" w:rsidR="001708FD" w:rsidRPr="00672624" w:rsidRDefault="002202FA">
      <w:pPr>
        <w:ind w:left="0" w:firstLine="0"/>
        <w:jc w:val="center"/>
        <w:rPr>
          <w:rFonts w:asciiTheme="minorHAnsi" w:hAnsiTheme="minorHAnsi" w:cstheme="minorHAnsi"/>
        </w:rPr>
        <w:pPrChange w:id="65" w:author="Libor Marek" w:date="2024-04-03T13:36:00Z">
          <w:pPr>
            <w:ind w:left="0" w:firstLine="0"/>
            <w:jc w:val="right"/>
          </w:pPr>
        </w:pPrChange>
      </w:pPr>
      <w:ins w:id="66" w:author="Libor Marek" w:date="2024-04-03T13:36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          </w:t>
        </w:r>
      </w:ins>
      <w:r w:rsidR="00672624"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  <w:tblPrChange w:id="67" w:author="Libor Marek" w:date="2024-04-03T17:26:00Z">
          <w:tblPr>
            <w:tblStyle w:val="TableGrid"/>
            <w:tblW w:w="9306" w:type="dxa"/>
            <w:tblInd w:w="1" w:type="dxa"/>
            <w:tblCellMar>
              <w:top w:w="132" w:type="dxa"/>
              <w:left w:w="68" w:type="dxa"/>
              <w:bottom w:w="4" w:type="dxa"/>
              <w:right w:w="13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391"/>
        <w:gridCol w:w="3127"/>
        <w:gridCol w:w="2561"/>
        <w:gridCol w:w="1279"/>
        <w:gridCol w:w="948"/>
        <w:tblGridChange w:id="68">
          <w:tblGrid>
            <w:gridCol w:w="1392"/>
            <w:gridCol w:w="3128"/>
            <w:gridCol w:w="2434"/>
            <w:gridCol w:w="1404"/>
            <w:gridCol w:w="948"/>
          </w:tblGrid>
        </w:tblGridChange>
      </w:tblGrid>
      <w:tr w:rsidR="00672624" w:rsidRPr="00DC6A0F" w14:paraId="43129A2A" w14:textId="77777777" w:rsidTr="003A3E34">
        <w:trPr>
          <w:trHeight w:val="478"/>
          <w:trPrChange w:id="69" w:author="Libor Marek" w:date="2024-04-03T17:26:00Z">
            <w:trPr>
              <w:trHeight w:val="478"/>
            </w:trPr>
          </w:trPrChange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70" w:author="Libor Marek" w:date="2024-04-03T17:26:00Z">
              <w:tcPr>
                <w:tcW w:w="13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71" w:author="Libor Marek" w:date="2024-04-03T17:26:00Z">
              <w:tcPr>
                <w:tcW w:w="31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72" w:author="Libor Marek" w:date="2024-04-03T17:26:00Z">
              <w:tcPr>
                <w:tcW w:w="24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73" w:author="Libor Marek" w:date="2024-04-03T17:26:00Z">
              <w:tcPr>
                <w:tcW w:w="1404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74" w:author="Libor Marek" w:date="2024-04-03T17:26:00Z">
              <w:tcPr>
                <w:tcW w:w="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A3E34">
        <w:trPr>
          <w:trHeight w:val="890"/>
          <w:trPrChange w:id="75" w:author="Libor Marek" w:date="2024-04-03T17:26:00Z">
            <w:trPr>
              <w:trHeight w:val="890"/>
            </w:trPr>
          </w:trPrChange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6" w:author="Libor Marek" w:date="2024-04-03T17:26:00Z">
              <w:tcPr>
                <w:tcW w:w="13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7" w:author="Libor Marek" w:date="2024-04-03T17:26:00Z">
              <w:tcPr>
                <w:tcW w:w="31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8" w:author="Libor Marek" w:date="2024-04-03T17:26:00Z">
              <w:tcPr>
                <w:tcW w:w="24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9" w:author="Libor Marek" w:date="2024-04-03T17:26:00Z">
              <w:tcPr>
                <w:tcW w:w="14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3F4673C" w14:textId="5D3B3967" w:rsidR="00672624" w:rsidRPr="00FE4EB8" w:rsidRDefault="00B75BCA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80" w:author="Libor Marek" w:date="2024-04-03T17:26:00Z">
              <w:tcPr>
                <w:tcW w:w="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2294C87" w14:textId="0D23E982" w:rsidR="00672624" w:rsidRPr="00FE4EB8" w:rsidRDefault="00B75BCA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</w:tr>
      <w:tr w:rsidR="00672624" w:rsidRPr="00FE4EB8" w14:paraId="02F3C8A6" w14:textId="77777777" w:rsidTr="003A3E34">
        <w:trPr>
          <w:trHeight w:val="13"/>
          <w:trPrChange w:id="81" w:author="Libor Marek" w:date="2024-04-03T17:26:00Z">
            <w:trPr>
              <w:trHeight w:val="13"/>
            </w:trPr>
          </w:trPrChange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tcPrChange w:id="82" w:author="Libor Marek" w:date="2024-04-03T17:26:00Z">
              <w:tcPr>
                <w:tcW w:w="45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PrChange w:id="83" w:author="Libor Marek" w:date="2024-04-03T17:26:00Z">
              <w:tcPr>
                <w:tcW w:w="243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84" w:author="Libor Marek" w:date="2024-04-03T17:26:00Z">
              <w:tcPr>
                <w:tcW w:w="14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6A5376E" w14:textId="1E714B4D" w:rsidR="00672624" w:rsidRPr="00FE4EB8" w:rsidRDefault="00B75BCA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85" w:author="Libor Marek" w:date="2024-04-03T17:26:00Z">
              <w:tcPr>
                <w:tcW w:w="9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B4C2352" w14:textId="0FDDF7A3" w:rsidR="00672624" w:rsidRPr="00FE4EB8" w:rsidRDefault="00B75BCA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275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r>
        <w:rPr>
          <w:rFonts w:asciiTheme="minorHAnsi" w:hAnsiTheme="minorHAnsi" w:cstheme="minorHAnsi"/>
          <w:sz w:val="20"/>
        </w:rPr>
        <w:t>Banskej</w:t>
      </w:r>
      <w:proofErr w:type="spell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7A5B0BA2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86" w:name="_Toc160433874"/>
      <w:r>
        <w:rPr>
          <w:rFonts w:asciiTheme="minorHAnsi" w:hAnsiTheme="minorHAnsi" w:cstheme="minorHAnsi"/>
        </w:rPr>
        <w:t>Národní program obnovy</w:t>
      </w:r>
      <w:bookmarkEnd w:id="86"/>
    </w:p>
    <w:p w14:paraId="5E72055A" w14:textId="5C2F9662" w:rsidR="00BC625A" w:rsidDel="006F7817" w:rsidRDefault="00BC625A" w:rsidP="00E77192">
      <w:pPr>
        <w:ind w:left="0" w:firstLine="0"/>
        <w:rPr>
          <w:del w:id="87" w:author="Libor Marek" w:date="2024-04-03T17:44:00Z"/>
          <w:rFonts w:asciiTheme="minorHAnsi" w:hAnsiTheme="minorHAnsi" w:cstheme="minorHAnsi"/>
          <w:sz w:val="20"/>
        </w:rPr>
      </w:pPr>
    </w:p>
    <w:p w14:paraId="06D8A80A" w14:textId="5FB2DD50" w:rsidR="007B59AF" w:rsidRDefault="009A4650">
      <w:pPr>
        <w:ind w:right="4"/>
        <w:rPr>
          <w:rFonts w:asciiTheme="minorHAnsi" w:hAnsiTheme="minorHAnsi" w:cstheme="minorHAnsi"/>
        </w:rPr>
        <w:pPrChange w:id="88" w:author="Libor Marek" w:date="2024-04-03T17:26:00Z">
          <w:pPr>
            <w:ind w:left="7090" w:firstLine="698"/>
          </w:pPr>
        </w:pPrChange>
      </w:pPr>
      <w:ins w:id="89" w:author="Libor Marek" w:date="2024-04-03T13:36:00Z">
        <w:r>
          <w:rPr>
            <w:rFonts w:asciiTheme="minorHAnsi" w:hAnsiTheme="minorHAnsi" w:cstheme="minorHAnsi"/>
          </w:rPr>
          <w:t xml:space="preserve">                                                                                                                                           </w:t>
        </w:r>
      </w:ins>
      <w:ins w:id="90" w:author="Libor Marek" w:date="2024-04-03T17:25:00Z">
        <w:r w:rsidR="003A3E34">
          <w:rPr>
            <w:rFonts w:asciiTheme="minorHAnsi" w:hAnsiTheme="minorHAnsi" w:cstheme="minorHAnsi"/>
          </w:rPr>
          <w:t xml:space="preserve">        </w:t>
        </w:r>
      </w:ins>
      <w:r w:rsidR="007B59AF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  <w:tblPrChange w:id="91" w:author="Libor Marek" w:date="2024-04-03T17:26:00Z">
          <w:tblPr>
            <w:tblStyle w:val="TableGrid"/>
            <w:tblW w:w="9351" w:type="dxa"/>
            <w:tblInd w:w="0" w:type="dxa"/>
            <w:tblLayout w:type="fixed"/>
            <w:tblCellMar>
              <w:top w:w="132" w:type="dxa"/>
              <w:left w:w="68" w:type="dxa"/>
              <w:bottom w:w="4" w:type="dxa"/>
              <w:right w:w="13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72"/>
        <w:gridCol w:w="2723"/>
        <w:gridCol w:w="2488"/>
        <w:gridCol w:w="1276"/>
        <w:gridCol w:w="992"/>
        <w:tblGridChange w:id="92">
          <w:tblGrid>
            <w:gridCol w:w="1872"/>
            <w:gridCol w:w="2723"/>
            <w:gridCol w:w="45"/>
            <w:gridCol w:w="1934"/>
            <w:gridCol w:w="367"/>
            <w:gridCol w:w="1045"/>
            <w:gridCol w:w="373"/>
            <w:gridCol w:w="708"/>
            <w:gridCol w:w="284"/>
          </w:tblGrid>
        </w:tblGridChange>
      </w:tblGrid>
      <w:tr w:rsidR="003A3E34" w:rsidRPr="00DC6A0F" w14:paraId="7E88E3AE" w14:textId="77777777" w:rsidTr="003A3E34">
        <w:trPr>
          <w:trHeight w:val="478"/>
          <w:trPrChange w:id="93" w:author="Libor Marek" w:date="2024-04-03T17:26:00Z">
            <w:trPr>
              <w:trHeight w:val="478"/>
            </w:trPr>
          </w:trPrChange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94" w:author="Libor Marek" w:date="2024-04-03T17:26:00Z"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40B33A23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95" w:author="Libor Marek" w:date="2024-04-03T17:26:00Z">
              <w:tcPr>
                <w:tcW w:w="27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36CA1487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96" w:author="Libor Marek" w:date="2024-04-03T17:26:00Z">
              <w:tcPr>
                <w:tcW w:w="2346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01824149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97" w:author="Libor Marek" w:date="2024-04-03T17:26:00Z">
              <w:tcPr>
                <w:tcW w:w="1418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7D0F3082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  <w:tcPrChange w:id="98" w:author="Libor Marek" w:date="2024-04-03T17:26:00Z"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93300"/>
                <w:vAlign w:val="center"/>
              </w:tcPr>
            </w:tcPrChange>
          </w:tcPr>
          <w:p w14:paraId="4AC4E4C3" w14:textId="13A6E970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B59AF" w:rsidRPr="00FE4EB8" w14:paraId="150897CD" w14:textId="77777777" w:rsidTr="003A3E34">
        <w:tblPrEx>
          <w:tblPrExChange w:id="99" w:author="Libor Marek" w:date="2024-04-03T17:26:00Z">
            <w:tblPrEx>
              <w:tblW w:w="9067" w:type="dxa"/>
            </w:tblPrEx>
          </w:tblPrExChange>
        </w:tblPrEx>
        <w:trPr>
          <w:trHeight w:val="890"/>
          <w:trPrChange w:id="100" w:author="Libor Marek" w:date="2024-04-03T17:26:00Z">
            <w:trPr>
              <w:gridAfter w:val="0"/>
              <w:trHeight w:val="890"/>
            </w:trPr>
          </w:trPrChange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1" w:author="Libor Marek" w:date="2024-04-03T17:26:00Z">
              <w:tcPr>
                <w:tcW w:w="18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493780E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2" w:author="Libor Marek" w:date="2024-04-03T17:26:00Z">
              <w:tcPr>
                <w:tcW w:w="27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8719605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3" w:author="Libor Marek" w:date="2024-04-03T17:26:00Z">
              <w:tcPr>
                <w:tcW w:w="19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894E4A2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4" w:author="Libor Marek" w:date="2024-04-03T17:26:00Z">
              <w:tcPr>
                <w:tcW w:w="14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313D1C6" w14:textId="77777777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3 750*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5" w:author="Libor Marek" w:date="2024-04-03T17:26:00Z">
              <w:tcPr>
                <w:tcW w:w="108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A63783D" w14:textId="1F7CA830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4 459</w:t>
            </w:r>
          </w:p>
        </w:tc>
      </w:tr>
      <w:tr w:rsidR="007B59AF" w:rsidRPr="00FE4EB8" w14:paraId="620D18C2" w14:textId="77777777" w:rsidTr="003A3E34">
        <w:tblPrEx>
          <w:tblPrExChange w:id="106" w:author="Libor Marek" w:date="2024-04-03T17:26:00Z">
            <w:tblPrEx>
              <w:tblW w:w="9067" w:type="dxa"/>
            </w:tblPrEx>
          </w:tblPrExChange>
        </w:tblPrEx>
        <w:trPr>
          <w:trHeight w:val="13"/>
          <w:trPrChange w:id="107" w:author="Libor Marek" w:date="2024-04-03T17:26:00Z">
            <w:trPr>
              <w:gridAfter w:val="0"/>
              <w:trHeight w:val="13"/>
            </w:trPr>
          </w:trPrChange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tcPrChange w:id="108" w:author="Libor Marek" w:date="2024-04-03T17:26:00Z">
              <w:tcPr>
                <w:tcW w:w="464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14:paraId="05B44C92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PrChange w:id="109" w:author="Libor Marek" w:date="2024-04-03T17:26:00Z">
              <w:tcPr>
                <w:tcW w:w="193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0EA403F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10" w:author="Libor Marek" w:date="2024-04-03T17:26:00Z">
              <w:tcPr>
                <w:tcW w:w="14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5AFAE77" w14:textId="77777777" w:rsidR="007B59AF" w:rsidRPr="007B59AF" w:rsidRDefault="007B59AF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3 750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11" w:author="Libor Marek" w:date="2024-04-03T17:26:00Z">
              <w:tcPr>
                <w:tcW w:w="108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FC4F58E" w14:textId="01ABAD69" w:rsidR="007B59AF" w:rsidRPr="007B59AF" w:rsidRDefault="007B59AF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4 459</w:t>
            </w:r>
          </w:p>
        </w:tc>
      </w:tr>
    </w:tbl>
    <w:p w14:paraId="2B7BB1F4" w14:textId="77777777" w:rsidR="007B59AF" w:rsidRDefault="007B59AF" w:rsidP="007B59AF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4366B18F" w14:textId="1ADA5A50" w:rsidR="007B59AF" w:rsidRPr="00B0509F" w:rsidRDefault="00B0509F" w:rsidP="00B050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lastRenderedPageBreak/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ins w:id="112" w:author="Libor Marek" w:date="2024-04-03T17:27:00Z">
        <w:r w:rsidR="009D74F7">
          <w:rPr>
            <w:rFonts w:asciiTheme="minorHAnsi" w:hAnsiTheme="minorHAnsi" w:cstheme="minorHAnsi"/>
            <w:sz w:val="20"/>
          </w:rPr>
          <w:t xml:space="preserve">   </w:t>
        </w:r>
      </w:ins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1701"/>
        <w:gridCol w:w="1134"/>
      </w:tblGrid>
      <w:tr w:rsidR="007B59AF" w:rsidRPr="00DC6A0F" w14:paraId="116E970F" w14:textId="77777777" w:rsidTr="00B0509F">
        <w:trPr>
          <w:trHeight w:val="4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B6A592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AFABE16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05B28FB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4020F8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B3D8044" w14:textId="2DDD2D94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B59AF" w:rsidRPr="00FE4EB8" w14:paraId="38EFD99D" w14:textId="77777777" w:rsidTr="00B0509F">
        <w:trPr>
          <w:trHeight w:val="8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D292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06C1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DA2D" w14:textId="7777777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D5CD" w14:textId="77777777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110" w14:textId="77777777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1 424</w:t>
            </w:r>
          </w:p>
        </w:tc>
      </w:tr>
      <w:tr w:rsidR="007B59AF" w:rsidRPr="00FE4EB8" w14:paraId="1B44466D" w14:textId="77777777" w:rsidTr="00B0509F">
        <w:trPr>
          <w:trHeight w:val="13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C3DF7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21615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E5F2" w14:textId="77777777" w:rsidR="007B59AF" w:rsidRPr="007B59AF" w:rsidRDefault="007B59AF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1 476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1EE0" w14:textId="77777777" w:rsidR="007B59AF" w:rsidRPr="007B59AF" w:rsidRDefault="007B59AF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59AF">
              <w:rPr>
                <w:rFonts w:asciiTheme="minorHAnsi" w:hAnsiTheme="minorHAnsi" w:cstheme="minorHAnsi"/>
                <w:b/>
                <w:szCs w:val="24"/>
              </w:rPr>
              <w:t>1 424</w:t>
            </w:r>
          </w:p>
        </w:tc>
      </w:tr>
    </w:tbl>
    <w:p w14:paraId="798AF704" w14:textId="6F80A99C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77C48F1C" w:rsidR="007D3E0B" w:rsidRPr="001459E7" w:rsidRDefault="007D3E0B" w:rsidP="007B59AF">
      <w:pPr>
        <w:pStyle w:val="Nadpis3"/>
        <w:rPr>
          <w:rFonts w:asciiTheme="minorHAnsi" w:hAnsiTheme="minorHAnsi" w:cstheme="minorHAnsi"/>
          <w:rPrChange w:id="113" w:author="Libor Marek" w:date="2024-04-03T13:25:00Z">
            <w:rPr/>
          </w:rPrChange>
        </w:rPr>
      </w:pPr>
      <w:bookmarkStart w:id="114" w:name="_Toc160433875"/>
      <w:r w:rsidRPr="001459E7">
        <w:rPr>
          <w:rFonts w:asciiTheme="minorHAnsi" w:hAnsiTheme="minorHAnsi" w:cstheme="minorHAnsi"/>
          <w:rPrChange w:id="115" w:author="Libor Marek" w:date="2024-04-03T13:25:00Z">
            <w:rPr/>
          </w:rPrChange>
        </w:rPr>
        <w:t>Projekt smluvního výzkumu</w:t>
      </w:r>
      <w:bookmarkEnd w:id="114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39B0441D" w:rsidR="007D3E0B" w:rsidRPr="00FA2B1C" w:rsidRDefault="004C55CC" w:rsidP="007D3E0B">
      <w:pPr>
        <w:ind w:left="7090" w:firstLine="698"/>
        <w:rPr>
          <w:rFonts w:asciiTheme="minorHAnsi" w:hAnsiTheme="minorHAnsi" w:cstheme="minorHAnsi"/>
        </w:rPr>
      </w:pPr>
      <w:ins w:id="116" w:author="Libor Marek" w:date="2024-04-03T17:28:00Z">
        <w:r>
          <w:rPr>
            <w:rFonts w:asciiTheme="minorHAnsi" w:hAnsiTheme="minorHAnsi" w:cstheme="minorHAnsi"/>
          </w:rPr>
          <w:t xml:space="preserve"> </w:t>
        </w:r>
      </w:ins>
      <w:r w:rsidR="007D3E0B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7D3E0B" w:rsidRPr="00D04A38" w14:paraId="560166C0" w14:textId="77777777" w:rsidTr="007B59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B59AF" w:rsidRPr="00FE4EB8" w14:paraId="4E2B4FE4" w14:textId="77777777" w:rsidTr="007B59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45399D71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DV60220002261-2601-UN/2601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672665E0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Realizační fáze projektu Zhodnocení přínosu konstruktivistických metod výuky v programu Začít spolu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152D3ABC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42CFD213" w:rsidR="007B59AF" w:rsidRPr="007B59AF" w:rsidRDefault="007B59AF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39BAE956" w:rsidR="007B59AF" w:rsidRPr="007B59AF" w:rsidRDefault="007B59AF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840**</w:t>
            </w:r>
          </w:p>
        </w:tc>
      </w:tr>
      <w:tr w:rsidR="007D3E0B" w:rsidRPr="00FE4EB8" w14:paraId="3B26BC8F" w14:textId="77777777" w:rsidTr="007B59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0FB33353" w:rsidR="007D3E0B" w:rsidRPr="00FA2B1C" w:rsidRDefault="007B59AF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45E2B1DA" w:rsidR="007D3E0B" w:rsidRPr="00FA2B1C" w:rsidRDefault="007B59AF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840</w:t>
            </w:r>
          </w:p>
        </w:tc>
      </w:tr>
    </w:tbl>
    <w:p w14:paraId="46DE50AC" w14:textId="0595453E" w:rsidR="007B59AF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1 051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840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spoluúčast fakulty na projektu je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211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5E55DE57" w14:textId="68DA377A" w:rsidR="00421D01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Částka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>56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byla převedena do Fondu účelově určených prostředků a bude čerpána v roce 2024.</w:t>
      </w:r>
    </w:p>
    <w:p w14:paraId="65A513C5" w14:textId="77777777" w:rsidR="00421D01" w:rsidRPr="006926F2" w:rsidRDefault="00421D01" w:rsidP="007B59AF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4472B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17" w:name="_Toc160433876"/>
      <w:r w:rsidRPr="004472BF">
        <w:rPr>
          <w:rFonts w:asciiTheme="minorHAnsi" w:hAnsiTheme="minorHAnsi" w:cstheme="minorHAnsi"/>
        </w:rPr>
        <w:t xml:space="preserve">Rozbor </w:t>
      </w:r>
      <w:r w:rsidR="005B4762" w:rsidRPr="004472BF">
        <w:rPr>
          <w:rFonts w:asciiTheme="minorHAnsi" w:hAnsiTheme="minorHAnsi" w:cstheme="minorHAnsi"/>
        </w:rPr>
        <w:t xml:space="preserve">nákladů a výnosů </w:t>
      </w:r>
      <w:r w:rsidRPr="004472BF">
        <w:rPr>
          <w:rFonts w:asciiTheme="minorHAnsi" w:hAnsiTheme="minorHAnsi" w:cstheme="minorHAnsi"/>
        </w:rPr>
        <w:t>po zdrojích financování</w:t>
      </w:r>
      <w:bookmarkEnd w:id="117"/>
    </w:p>
    <w:p w14:paraId="28054895" w14:textId="168F2EFF" w:rsidR="00CC0281" w:rsidRDefault="00CC0281" w:rsidP="00BB6D13">
      <w:pPr>
        <w:spacing w:before="240"/>
        <w:rPr>
          <w:rFonts w:asciiTheme="minorHAnsi" w:hAnsiTheme="minorHAnsi" w:cstheme="minorHAnsi"/>
        </w:rPr>
      </w:pPr>
      <w:r w:rsidRPr="004472B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0E0AA0CA" w14:textId="48C7290B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1B7E65A9" w14:textId="5B0ED5FD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633443B1" w14:textId="6715D602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4BBFFC78" w14:textId="1F455718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422B02D8" w14:textId="0718EB1E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62009EC9" w14:textId="4CD86A66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25769BAE" w14:textId="56B0FDA1" w:rsidR="00421D01" w:rsidRDefault="00421D01" w:rsidP="00BB6D13">
      <w:pPr>
        <w:spacing w:before="240"/>
        <w:rPr>
          <w:rFonts w:asciiTheme="minorHAnsi" w:hAnsiTheme="minorHAnsi" w:cstheme="minorHAnsi"/>
        </w:rPr>
      </w:pPr>
    </w:p>
    <w:p w14:paraId="5EFF009F" w14:textId="77777777" w:rsidR="00B0509F" w:rsidRDefault="00B0509F" w:rsidP="00BB6D13">
      <w:pPr>
        <w:spacing w:before="240"/>
        <w:rPr>
          <w:rFonts w:asciiTheme="minorHAnsi" w:hAnsiTheme="minorHAnsi" w:cstheme="minorHAnsi"/>
        </w:rPr>
      </w:pPr>
    </w:p>
    <w:p w14:paraId="6DBE43AF" w14:textId="3EAF06D5" w:rsidR="00CC0281" w:rsidRPr="005B046F" w:rsidRDefault="009E4DB3">
      <w:pPr>
        <w:spacing w:after="0" w:line="259" w:lineRule="auto"/>
        <w:ind w:right="4"/>
        <w:jc w:val="center"/>
        <w:rPr>
          <w:rFonts w:asciiTheme="minorHAnsi" w:hAnsiTheme="minorHAnsi" w:cstheme="minorHAnsi"/>
          <w:szCs w:val="24"/>
        </w:rPr>
        <w:pPrChange w:id="118" w:author="Libor Marek" w:date="2024-04-03T17:29:00Z">
          <w:pPr>
            <w:spacing w:after="0" w:line="259" w:lineRule="auto"/>
            <w:ind w:right="4"/>
            <w:jc w:val="right"/>
          </w:pPr>
        </w:pPrChange>
      </w:pPr>
      <w:ins w:id="119" w:author="Libor Marek" w:date="2024-04-03T17:29:00Z">
        <w:r>
          <w:rPr>
            <w:rFonts w:asciiTheme="minorHAnsi" w:hAnsiTheme="minorHAnsi" w:cstheme="minorHAnsi"/>
            <w:szCs w:val="24"/>
          </w:rPr>
          <w:lastRenderedPageBreak/>
          <w:t xml:space="preserve">                                                                                                    </w:t>
        </w:r>
      </w:ins>
      <w:r w:rsidR="00CC0281"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261C740D" w:rsidR="00CC0281" w:rsidRPr="00E5454E" w:rsidRDefault="009453B9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107 694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84A5BA0" w:rsidR="00CC0281" w:rsidRPr="00E5454E" w:rsidRDefault="009453B9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112 549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05BD6EC7" w:rsidR="00CC0281" w:rsidRPr="00E5454E" w:rsidRDefault="009453B9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4 855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5AE0F808" w:rsidR="00CC0281" w:rsidRPr="00343DC9" w:rsidRDefault="006D49D4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3 </w:t>
            </w:r>
            <w:r w:rsidR="009453B9">
              <w:rPr>
                <w:rFonts w:asciiTheme="minorHAnsi" w:hAnsiTheme="minorHAnsi" w:cstheme="minorHAnsi"/>
              </w:rPr>
              <w:t>346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60F697FA" w:rsidR="00CC0281" w:rsidRPr="00343DC9" w:rsidRDefault="006D49D4" w:rsidP="009453B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3 </w:t>
            </w:r>
            <w:r w:rsidR="009453B9">
              <w:rPr>
                <w:rFonts w:asciiTheme="minorHAnsi" w:hAnsiTheme="minorHAnsi" w:cstheme="minorHAnsi"/>
              </w:rPr>
              <w:t>346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2EF4547E" w:rsidR="00CC0281" w:rsidRPr="00E5454E" w:rsidRDefault="0050136A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3685E48B" w:rsidR="00CC0281" w:rsidRPr="00E5454E" w:rsidRDefault="00304F77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28ACAA0F" w:rsidR="00CC0281" w:rsidRPr="00E5454E" w:rsidRDefault="00304F77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49A34FEB" w:rsidR="00CC0281" w:rsidRPr="00E5454E" w:rsidRDefault="00E5454E" w:rsidP="0050136A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</w:t>
            </w:r>
            <w:r w:rsidR="0050136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C9320D5" w:rsidR="00CC0281" w:rsidRPr="00E5454E" w:rsidRDefault="00E5454E" w:rsidP="0050136A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</w:t>
            </w:r>
            <w:r w:rsidR="0050136A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283ACC3B" w:rsidR="00CC0281" w:rsidRPr="00E5454E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553CB7F5" w:rsidR="00CC0281" w:rsidRPr="00E5454E" w:rsidRDefault="0050136A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596606F8" w:rsidR="00CC0281" w:rsidRPr="004D6E28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1C64A2FF" w:rsidR="00CC0281" w:rsidRPr="004D6E28" w:rsidRDefault="0050136A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08A30ADD" w:rsidR="00EB4B9A" w:rsidRPr="00E5454E" w:rsidRDefault="0050136A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416F591A" w:rsidR="00EB4B9A" w:rsidRPr="00E5454E" w:rsidRDefault="0050136A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3E19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705B95FF" w:rsidR="00CC0281" w:rsidRPr="003E190C" w:rsidRDefault="00F03B4F" w:rsidP="003E190C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 xml:space="preserve">3 </w:t>
            </w:r>
            <w:r w:rsidR="003E190C" w:rsidRPr="003E190C">
              <w:rPr>
                <w:rFonts w:asciiTheme="minorHAnsi" w:hAnsiTheme="minorHAnsi" w:cstheme="minorHAnsi"/>
              </w:rPr>
              <w:t>252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395424CC" w:rsidR="00CC0281" w:rsidRPr="003E190C" w:rsidRDefault="003E190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3 503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4A3854B1" w:rsidR="00CC0281" w:rsidRPr="003E190C" w:rsidRDefault="003E190C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3E190C">
              <w:rPr>
                <w:rFonts w:asciiTheme="minorHAnsi" w:hAnsiTheme="minorHAnsi" w:cstheme="minorHAnsi"/>
              </w:rPr>
              <w:t>251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284D2708" w:rsidR="00BE5A36" w:rsidRPr="004D6E28" w:rsidRDefault="003E19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79DF01A" w:rsidR="00BE5A36" w:rsidRPr="004D6E28" w:rsidRDefault="003E190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7854B21D" w:rsidR="00BE5A36" w:rsidRPr="004D6E28" w:rsidRDefault="003E190C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427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4FE42617" w:rsidR="00CC0281" w:rsidRPr="004D6E28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22B7AD8E" w:rsidR="00CC0281" w:rsidRPr="004D6E28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1 572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556149B0" w:rsidR="00CC0281" w:rsidRPr="004D6E28" w:rsidRDefault="007E2AAE" w:rsidP="007E2AAE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819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0F14B420" w:rsidR="003815AB" w:rsidRPr="004D6E28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1405BA9" w:rsidR="003815AB" w:rsidRPr="004D6E28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162E92F2" w:rsidR="003815AB" w:rsidRPr="004D6E28" w:rsidRDefault="007E2AA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15CED1CA" w:rsidR="00CC0281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EB82487" w:rsidR="00CC0281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25771ECD" w:rsidR="00CC0281" w:rsidRPr="00007E2F" w:rsidRDefault="007E2AA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60BB4B69" w:rsidR="00A83C44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411CF2BC" w:rsidR="00A83C44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1B64DEB4" w:rsidR="00CC0281" w:rsidRPr="00007E2F" w:rsidRDefault="007E2AA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173F1CE" w:rsidR="00CC0281" w:rsidRPr="00007E2F" w:rsidRDefault="007E2AA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8 297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3E7ACB4B" w:rsidR="00CC0281" w:rsidRPr="00007E2F" w:rsidRDefault="00007E2F" w:rsidP="007E2AAE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 </w:t>
            </w:r>
            <w:r w:rsidR="007E2AAE">
              <w:rPr>
                <w:rFonts w:asciiTheme="minorHAnsi" w:hAnsiTheme="minorHAnsi" w:cstheme="minorHAnsi"/>
              </w:rPr>
              <w:t>009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5876BB26" w:rsidR="00CC0281" w:rsidRPr="00007E2F" w:rsidRDefault="00007E2F" w:rsidP="007E2AAE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 </w:t>
            </w:r>
            <w:r w:rsidR="007E2AAE">
              <w:rPr>
                <w:rFonts w:asciiTheme="minorHAnsi" w:hAnsiTheme="minorHAnsi" w:cstheme="minorHAnsi"/>
              </w:rPr>
              <w:t>000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013E8F74" w:rsidR="00901601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07D3610E" w:rsidR="00901601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166617EE" w:rsidR="00007E2F" w:rsidRPr="00007E2F" w:rsidRDefault="007E2AA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  <w:r w:rsidR="00007E2F"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A5830AD" w:rsidR="00007E2F" w:rsidRPr="00007E2F" w:rsidRDefault="007E2AA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B4D4B10" w:rsid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6DB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0F45937C" w:rsidR="002D6DB2" w:rsidRDefault="004472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D6DB2"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845AF20" w:rsidR="00CC0281" w:rsidRPr="002D6DB2" w:rsidRDefault="004472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2360466" w:rsidR="00CC0281" w:rsidRP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2A0EFCFA" w:rsidR="00CC0281" w:rsidRPr="002D6DB2" w:rsidRDefault="004472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8530 Ostatní doplňková činnost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6B6C361F" w:rsidR="00CC0281" w:rsidRPr="002D6DB2" w:rsidRDefault="004472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6CDC85CB" w:rsidR="00CC0281" w:rsidRPr="002D6DB2" w:rsidRDefault="004472B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20B53053" w:rsidR="00CC0281" w:rsidRPr="002D6DB2" w:rsidRDefault="004472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E9C7157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</w:t>
      </w:r>
      <w:r w:rsidR="0050136A">
        <w:rPr>
          <w:rFonts w:asciiTheme="minorHAnsi" w:hAnsiTheme="minorHAnsi" w:cstheme="minorHAnsi"/>
          <w:sz w:val="20"/>
        </w:rPr>
        <w:t>Z toho č</w:t>
      </w:r>
      <w:r w:rsidRPr="00E5454E">
        <w:rPr>
          <w:rFonts w:asciiTheme="minorHAnsi" w:hAnsiTheme="minorHAnsi" w:cstheme="minorHAnsi"/>
          <w:sz w:val="20"/>
        </w:rPr>
        <w:t xml:space="preserve">ástka ve výši </w:t>
      </w:r>
      <w:r w:rsidR="00304F77">
        <w:rPr>
          <w:rFonts w:asciiTheme="minorHAnsi" w:hAnsiTheme="minorHAnsi" w:cstheme="minorHAnsi"/>
          <w:sz w:val="20"/>
        </w:rPr>
        <w:t>190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</w:t>
      </w:r>
      <w:r w:rsidR="00304F77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FC30F9E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</w:t>
      </w:r>
      <w:r w:rsidR="007E2AAE">
        <w:rPr>
          <w:rFonts w:asciiTheme="minorHAnsi" w:hAnsiTheme="minorHAnsi" w:cstheme="minorHAnsi"/>
          <w:sz w:val="20"/>
        </w:rPr>
        <w:t>109</w:t>
      </w:r>
      <w:r w:rsidRPr="00007E2F">
        <w:rPr>
          <w:rFonts w:asciiTheme="minorHAnsi" w:hAnsiTheme="minorHAnsi" w:cstheme="minorHAnsi"/>
          <w:sz w:val="20"/>
        </w:rPr>
        <w:t xml:space="preserve">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15BBA970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7E2AAE">
        <w:rPr>
          <w:rFonts w:asciiTheme="minorHAnsi" w:hAnsiTheme="minorHAnsi" w:cstheme="minorHAnsi"/>
          <w:sz w:val="20"/>
        </w:rPr>
        <w:t>664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</w:t>
      </w:r>
      <w:r w:rsidR="007E2AAE">
        <w:rPr>
          <w:rFonts w:asciiTheme="minorHAnsi" w:hAnsiTheme="minorHAnsi" w:cstheme="minorHAnsi"/>
          <w:sz w:val="20"/>
        </w:rPr>
        <w:t>, Fakulta logistiky a krizového řízení</w:t>
      </w:r>
      <w:r w:rsidRPr="00007E2F">
        <w:rPr>
          <w:rFonts w:asciiTheme="minorHAnsi" w:hAnsiTheme="minorHAnsi" w:cstheme="minorHAnsi"/>
          <w:sz w:val="20"/>
        </w:rPr>
        <w:t xml:space="preserve"> a Centru polymerních systémů, částka ve výši </w:t>
      </w:r>
      <w:r w:rsidR="007E2AAE">
        <w:rPr>
          <w:rFonts w:asciiTheme="minorHAnsi" w:hAnsiTheme="minorHAnsi" w:cstheme="minorHAnsi"/>
          <w:sz w:val="20"/>
        </w:rPr>
        <w:t>9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579F4D94" w14:textId="170492D2" w:rsidR="00C618A3" w:rsidRPr="005E0754" w:rsidRDefault="00EC335A" w:rsidP="00C618A3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="00C618A3">
        <w:rPr>
          <w:rFonts w:asciiTheme="minorHAnsi" w:hAnsiTheme="minorHAnsi" w:cstheme="minorHAnsi"/>
          <w:sz w:val="20"/>
        </w:rPr>
        <w:t>Z toho č</w:t>
      </w:r>
      <w:r w:rsidR="00C618A3" w:rsidRPr="00E5454E">
        <w:rPr>
          <w:rFonts w:asciiTheme="minorHAnsi" w:hAnsiTheme="minorHAnsi" w:cstheme="minorHAnsi"/>
          <w:sz w:val="20"/>
        </w:rPr>
        <w:t xml:space="preserve">ástka ve výši </w:t>
      </w:r>
      <w:r w:rsidR="00C618A3">
        <w:rPr>
          <w:rFonts w:asciiTheme="minorHAnsi" w:hAnsiTheme="minorHAnsi" w:cstheme="minorHAnsi"/>
          <w:sz w:val="20"/>
        </w:rPr>
        <w:t>56</w:t>
      </w:r>
      <w:r w:rsidR="00C618A3"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</w:t>
      </w:r>
      <w:r w:rsidR="00C618A3" w:rsidRPr="005E0754">
        <w:rPr>
          <w:rFonts w:asciiTheme="minorHAnsi" w:hAnsiTheme="minorHAnsi" w:cstheme="minorHAnsi"/>
          <w:sz w:val="20"/>
        </w:rPr>
        <w:t>prostředků byla čerpána částka ve výši 784 tis. Kč.</w:t>
      </w:r>
    </w:p>
    <w:p w14:paraId="0FBBFAF4" w14:textId="46FF9FB9" w:rsidR="005E5D27" w:rsidRPr="005E0754" w:rsidRDefault="005E5D27" w:rsidP="00C618A3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</w:p>
    <w:p w14:paraId="39970FF9" w14:textId="77777777" w:rsidR="00C23675" w:rsidRPr="005E0754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20" w:name="_Toc160433877"/>
      <w:r w:rsidRPr="005E0754">
        <w:rPr>
          <w:rFonts w:asciiTheme="minorHAnsi" w:hAnsiTheme="minorHAnsi" w:cstheme="minorHAnsi"/>
        </w:rPr>
        <w:lastRenderedPageBreak/>
        <w:t>Finanční prostředky</w:t>
      </w:r>
      <w:r w:rsidR="00CC0281" w:rsidRPr="005E0754">
        <w:rPr>
          <w:rFonts w:asciiTheme="minorHAnsi" w:hAnsiTheme="minorHAnsi" w:cstheme="minorHAnsi"/>
        </w:rPr>
        <w:t xml:space="preserve"> a výsledek hospodaření</w:t>
      </w:r>
      <w:r w:rsidRPr="005E0754">
        <w:rPr>
          <w:rFonts w:asciiTheme="minorHAnsi" w:hAnsiTheme="minorHAnsi" w:cstheme="minorHAnsi"/>
        </w:rPr>
        <w:t xml:space="preserve"> </w:t>
      </w:r>
      <w:r w:rsidR="00452A0E" w:rsidRPr="005E0754">
        <w:rPr>
          <w:rFonts w:asciiTheme="minorHAnsi" w:hAnsiTheme="minorHAnsi" w:cstheme="minorHAnsi"/>
        </w:rPr>
        <w:t>FHS</w:t>
      </w:r>
      <w:bookmarkEnd w:id="120"/>
      <w:r w:rsidR="005C0230" w:rsidRPr="005E0754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5E0754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0324E74E" w:rsidR="00CC0281" w:rsidRPr="005E0754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Tento rozbor zahrnuje jednotlivé fondy F</w:t>
      </w:r>
      <w:r w:rsidR="00F70190" w:rsidRPr="005E0754">
        <w:rPr>
          <w:rFonts w:asciiTheme="minorHAnsi" w:hAnsiTheme="minorHAnsi" w:cstheme="minorHAnsi"/>
        </w:rPr>
        <w:t>HS</w:t>
      </w:r>
      <w:r w:rsidR="004472BF" w:rsidRPr="005E0754">
        <w:rPr>
          <w:rFonts w:asciiTheme="minorHAnsi" w:hAnsiTheme="minorHAnsi" w:cstheme="minorHAnsi"/>
        </w:rPr>
        <w:t xml:space="preserve"> a jejich vývoj v roce 2023</w:t>
      </w:r>
      <w:r w:rsidRPr="005E0754">
        <w:rPr>
          <w:rFonts w:asciiTheme="minorHAnsi" w:hAnsiTheme="minorHAnsi" w:cstheme="minorHAnsi"/>
        </w:rPr>
        <w:t xml:space="preserve">. Nejvýznamnější pohyb </w:t>
      </w:r>
      <w:r w:rsidR="00563B98" w:rsidRPr="005E0754">
        <w:rPr>
          <w:rFonts w:asciiTheme="minorHAnsi" w:hAnsiTheme="minorHAnsi" w:cstheme="minorHAnsi"/>
        </w:rPr>
        <w:t>f</w:t>
      </w:r>
      <w:r w:rsidR="004472BF" w:rsidRPr="005E0754">
        <w:rPr>
          <w:rFonts w:asciiTheme="minorHAnsi" w:hAnsiTheme="minorHAnsi" w:cstheme="minorHAnsi"/>
        </w:rPr>
        <w:t>inančních prostředků v roce 2023</w:t>
      </w:r>
      <w:r w:rsidRPr="005E0754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1A50EA" w:rsidRPr="001A50EA">
        <w:rPr>
          <w:rFonts w:asciiTheme="minorHAnsi" w:hAnsiTheme="minorHAnsi" w:cstheme="minorHAnsi"/>
        </w:rPr>
        <w:t>4 902</w:t>
      </w:r>
      <w:r w:rsidRPr="001A50EA">
        <w:rPr>
          <w:rFonts w:asciiTheme="minorHAnsi" w:hAnsiTheme="minorHAnsi" w:cstheme="minorHAnsi"/>
        </w:rPr>
        <w:t xml:space="preserve"> tis. Kč a čerpán ve výši </w:t>
      </w:r>
      <w:r w:rsidR="001A50EA" w:rsidRPr="001A50EA">
        <w:rPr>
          <w:rFonts w:asciiTheme="minorHAnsi" w:hAnsiTheme="minorHAnsi" w:cstheme="minorHAnsi"/>
        </w:rPr>
        <w:t>13 294</w:t>
      </w:r>
      <w:r w:rsidRPr="001A50EA">
        <w:rPr>
          <w:rFonts w:asciiTheme="minorHAnsi" w:hAnsiTheme="minorHAnsi" w:cstheme="minorHAnsi"/>
        </w:rPr>
        <w:t xml:space="preserve"> tis. Kč</w:t>
      </w:r>
      <w:r w:rsidRPr="005E0754">
        <w:rPr>
          <w:rFonts w:asciiTheme="minorHAnsi" w:hAnsiTheme="minorHAnsi" w:cstheme="minorHAnsi"/>
        </w:rPr>
        <w:t>. Dále je tato kapitola věnována hospodářskému výsledku F</w:t>
      </w:r>
      <w:r w:rsidR="00F70190" w:rsidRPr="005E0754">
        <w:rPr>
          <w:rFonts w:asciiTheme="minorHAnsi" w:hAnsiTheme="minorHAnsi" w:cstheme="minorHAnsi"/>
        </w:rPr>
        <w:t>HS</w:t>
      </w:r>
      <w:r w:rsidRPr="005E0754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5E0754" w:rsidRDefault="00CC0281" w:rsidP="00CC0281">
      <w:pPr>
        <w:rPr>
          <w:rFonts w:asciiTheme="minorHAnsi" w:hAnsiTheme="minorHAnsi" w:cstheme="minorHAnsi"/>
        </w:rPr>
      </w:pPr>
    </w:p>
    <w:p w14:paraId="71D152CD" w14:textId="21DA1198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Následující tabulka znázorňuje stav finanční</w:t>
      </w:r>
      <w:r w:rsidR="008A65B4" w:rsidRPr="005E0754">
        <w:rPr>
          <w:rFonts w:asciiTheme="minorHAnsi" w:hAnsiTheme="minorHAnsi" w:cstheme="minorHAnsi"/>
        </w:rPr>
        <w:t>ch</w:t>
      </w:r>
      <w:r w:rsidRPr="005E0754">
        <w:rPr>
          <w:rFonts w:asciiTheme="minorHAnsi" w:hAnsiTheme="minorHAnsi" w:cstheme="minorHAnsi"/>
        </w:rPr>
        <w:t xml:space="preserve"> prostředků a pohyby v jednotlivých fondech </w:t>
      </w:r>
      <w:r w:rsidR="00312A41" w:rsidRPr="005E0754">
        <w:rPr>
          <w:rFonts w:asciiTheme="minorHAnsi" w:hAnsiTheme="minorHAnsi" w:cstheme="minorHAnsi"/>
        </w:rPr>
        <w:t>v období mezi</w:t>
      </w:r>
      <w:r w:rsidR="00EF7B3C" w:rsidRPr="005E0754">
        <w:rPr>
          <w:rFonts w:asciiTheme="minorHAnsi" w:hAnsiTheme="minorHAnsi" w:cstheme="minorHAnsi"/>
        </w:rPr>
        <w:t> 1. 1. </w:t>
      </w:r>
      <w:r w:rsidR="004472BF" w:rsidRPr="005E0754">
        <w:rPr>
          <w:rFonts w:asciiTheme="minorHAnsi" w:hAnsiTheme="minorHAnsi" w:cstheme="minorHAnsi"/>
        </w:rPr>
        <w:t>2023</w:t>
      </w:r>
      <w:r w:rsidR="00312A41" w:rsidRPr="005E0754">
        <w:rPr>
          <w:rFonts w:asciiTheme="minorHAnsi" w:hAnsiTheme="minorHAnsi" w:cstheme="minorHAnsi"/>
        </w:rPr>
        <w:t xml:space="preserve"> a </w:t>
      </w:r>
      <w:r w:rsidR="004472BF" w:rsidRPr="005E0754">
        <w:rPr>
          <w:rFonts w:asciiTheme="minorHAnsi" w:hAnsiTheme="minorHAnsi" w:cstheme="minorHAnsi"/>
        </w:rPr>
        <w:t>31. 12. 2023</w:t>
      </w:r>
      <w:r w:rsidRPr="005E0754">
        <w:rPr>
          <w:rFonts w:asciiTheme="minorHAnsi" w:hAnsiTheme="minorHAnsi" w:cstheme="minorHAnsi"/>
        </w:rPr>
        <w:t>.</w:t>
      </w:r>
    </w:p>
    <w:p w14:paraId="06627258" w14:textId="6856D7A8" w:rsidR="00CC0281" w:rsidRPr="005E0754" w:rsidRDefault="00CC0281">
      <w:pPr>
        <w:spacing w:after="0" w:line="259" w:lineRule="auto"/>
        <w:jc w:val="left"/>
        <w:rPr>
          <w:rFonts w:asciiTheme="minorHAnsi" w:hAnsiTheme="minorHAnsi" w:cstheme="minorHAnsi"/>
        </w:rPr>
        <w:pPrChange w:id="121" w:author="Libor Marek" w:date="2024-04-03T17:30:00Z">
          <w:pPr>
            <w:spacing w:after="0" w:line="259" w:lineRule="auto"/>
            <w:jc w:val="right"/>
          </w:pPr>
        </w:pPrChange>
      </w:pP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ins w:id="122" w:author="Libor Marek" w:date="2024-04-03T17:30:00Z">
        <w:r w:rsidR="009E4DB3">
          <w:rPr>
            <w:rFonts w:asciiTheme="minorHAnsi" w:hAnsiTheme="minorHAnsi" w:cstheme="minorHAnsi"/>
          </w:rPr>
          <w:t xml:space="preserve">                              </w:t>
        </w:r>
      </w:ins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5E0754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31191823" w:rsidR="00CC0281" w:rsidRPr="005E0754" w:rsidRDefault="005E0754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C493763" w:rsidR="00CC0281" w:rsidRPr="005E0754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5E0754">
              <w:rPr>
                <w:rFonts w:asciiTheme="minorHAnsi" w:hAnsiTheme="minorHAnsi" w:cstheme="minorHAnsi"/>
                <w:color w:val="FFFFFF" w:themeColor="background1"/>
              </w:rPr>
              <w:t>23</w:t>
            </w: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5E0754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E0754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0754">
              <w:rPr>
                <w:rFonts w:asciiTheme="minorHAnsi" w:hAnsiTheme="minorHAnsi" w:cstheme="minorHAnsi"/>
              </w:rPr>
              <w:t>Fond provozních prostředků</w:t>
            </w:r>
            <w:r w:rsidRPr="005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E3A2031" w:rsidR="00CC0281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4A247075" w:rsidR="00CC0281" w:rsidRPr="005E0754" w:rsidRDefault="000057B6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1E804913" w:rsidR="00CC0281" w:rsidRPr="005E0754" w:rsidRDefault="001A50EA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13 294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092B730C" w:rsidR="00CC0281" w:rsidRPr="005E0754" w:rsidRDefault="005E0754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119 936</w:t>
            </w:r>
          </w:p>
        </w:tc>
      </w:tr>
      <w:tr w:rsidR="00CC0281" w:rsidRPr="005E0754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0B8CF57A" w:rsidR="00CC0281" w:rsidRPr="005E0754" w:rsidRDefault="005E0754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5BC0315F" w:rsidR="00CC0281" w:rsidRPr="005E0754" w:rsidRDefault="004709AD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3087B2A3" w:rsidR="00CC0281" w:rsidRPr="005E0754" w:rsidRDefault="004709AD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49CE7BD" w:rsidR="00CC0281" w:rsidRPr="005E0754" w:rsidRDefault="00D333EA" w:rsidP="005E07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9 </w:t>
            </w:r>
            <w:r w:rsidR="005E0754">
              <w:rPr>
                <w:rFonts w:asciiTheme="minorHAnsi" w:hAnsiTheme="minorHAnsi" w:cstheme="minorHAnsi"/>
              </w:rPr>
              <w:t>537</w:t>
            </w:r>
          </w:p>
        </w:tc>
      </w:tr>
      <w:tr w:rsidR="00CC0281" w:rsidRPr="005E0754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09B737C2" w:rsidR="00CC0281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3186D66" w:rsidR="00CC0281" w:rsidRPr="005E0754" w:rsidRDefault="00D52D46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6AD92D2C" w:rsidR="00CC0281" w:rsidRPr="005E0754" w:rsidRDefault="00D52D46" w:rsidP="0078255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</w:t>
            </w:r>
            <w:r w:rsidR="0078255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CC57D32" w:rsidR="00CC0281" w:rsidRPr="005E0754" w:rsidRDefault="005E075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</w:tr>
      <w:tr w:rsidR="00154C3D" w:rsidRPr="005E0754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E0754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6844F4A4" w:rsidR="00154C3D" w:rsidRPr="005E0754" w:rsidRDefault="005E075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490569D4" w:rsidR="00154C3D" w:rsidRPr="005E0754" w:rsidRDefault="00EF605B" w:rsidP="00EF605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7E740AF5" w:rsidR="00154C3D" w:rsidRPr="005E0754" w:rsidRDefault="00EF605B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013C1244" w:rsidR="00154C3D" w:rsidRPr="005E0754" w:rsidRDefault="005E075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493</w:t>
            </w:r>
          </w:p>
        </w:tc>
      </w:tr>
    </w:tbl>
    <w:p w14:paraId="287BBDA9" w14:textId="77777777" w:rsidR="00CC0281" w:rsidRPr="005E0754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2E27BD82" w14:textId="3BA33877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Následující tabulka znázorňuje hospodářský výsledek F</w:t>
      </w:r>
      <w:r w:rsidR="00F70190" w:rsidRPr="005E0754">
        <w:rPr>
          <w:rFonts w:asciiTheme="minorHAnsi" w:hAnsiTheme="minorHAnsi" w:cstheme="minorHAnsi"/>
        </w:rPr>
        <w:t>HS</w:t>
      </w:r>
      <w:r w:rsidRPr="005E0754">
        <w:rPr>
          <w:rFonts w:asciiTheme="minorHAnsi" w:hAnsiTheme="minorHAnsi" w:cstheme="minorHAnsi"/>
        </w:rPr>
        <w:t xml:space="preserve"> </w:t>
      </w:r>
      <w:r w:rsidR="00F70190" w:rsidRPr="005E0754">
        <w:rPr>
          <w:rFonts w:asciiTheme="minorHAnsi" w:hAnsiTheme="minorHAnsi" w:cstheme="minorHAnsi"/>
        </w:rPr>
        <w:t xml:space="preserve">(HV) </w:t>
      </w:r>
      <w:r w:rsidRPr="005E0754">
        <w:rPr>
          <w:rFonts w:asciiTheme="minorHAnsi" w:hAnsiTheme="minorHAnsi" w:cstheme="minorHAnsi"/>
        </w:rPr>
        <w:t>z hlavní a doplňkové činnosti</w:t>
      </w:r>
      <w:r w:rsidR="00317404" w:rsidRPr="005E0754">
        <w:rPr>
          <w:rFonts w:asciiTheme="minorHAnsi" w:hAnsiTheme="minorHAnsi" w:cstheme="minorHAnsi"/>
        </w:rPr>
        <w:t xml:space="preserve"> za rok 2022</w:t>
      </w:r>
      <w:r w:rsidRPr="005E0754">
        <w:rPr>
          <w:rFonts w:asciiTheme="minorHAnsi" w:hAnsiTheme="minorHAnsi" w:cstheme="minorHAnsi"/>
        </w:rPr>
        <w:t>.</w:t>
      </w:r>
    </w:p>
    <w:p w14:paraId="459DF825" w14:textId="108A5914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r w:rsidRPr="005E0754">
        <w:rPr>
          <w:rFonts w:asciiTheme="minorHAnsi" w:hAnsiTheme="minorHAnsi" w:cstheme="minorHAnsi"/>
        </w:rPr>
        <w:tab/>
      </w:r>
      <w:ins w:id="123" w:author="Libor Marek" w:date="2024-04-03T17:30:00Z">
        <w:r w:rsidR="009E4DB3">
          <w:rPr>
            <w:rFonts w:asciiTheme="minorHAnsi" w:hAnsiTheme="minorHAnsi" w:cstheme="minorHAnsi"/>
          </w:rPr>
          <w:tab/>
        </w:r>
        <w:r w:rsidR="009E4DB3">
          <w:rPr>
            <w:rFonts w:asciiTheme="minorHAnsi" w:hAnsiTheme="minorHAnsi" w:cstheme="minorHAnsi"/>
          </w:rPr>
          <w:tab/>
        </w:r>
        <w:r w:rsidR="009E4DB3">
          <w:rPr>
            <w:rFonts w:asciiTheme="minorHAnsi" w:hAnsiTheme="minorHAnsi" w:cstheme="minorHAnsi"/>
          </w:rPr>
          <w:tab/>
        </w:r>
      </w:ins>
      <w:ins w:id="124" w:author="Libor Marek" w:date="2024-04-03T17:31:00Z">
        <w:r w:rsidR="009E4DB3">
          <w:rPr>
            <w:rFonts w:asciiTheme="minorHAnsi" w:hAnsiTheme="minorHAnsi" w:cstheme="minorHAnsi"/>
          </w:rPr>
          <w:tab/>
          <w:t xml:space="preserve">   </w:t>
        </w:r>
      </w:ins>
      <w:del w:id="125" w:author="Libor Marek" w:date="2024-04-03T17:30:00Z"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</w:r>
        <w:r w:rsidRPr="005E0754" w:rsidDel="009E4DB3">
          <w:rPr>
            <w:rFonts w:asciiTheme="minorHAnsi" w:hAnsiTheme="minorHAnsi" w:cstheme="minorHAnsi"/>
          </w:rPr>
          <w:tab/>
          <w:delText xml:space="preserve">        </w:delText>
        </w:r>
      </w:del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5E075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5E075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5E075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5E0754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63CDE0E" w:rsidR="00CC0281" w:rsidRPr="005E0754" w:rsidRDefault="00317404" w:rsidP="000057B6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1 </w:t>
            </w:r>
            <w:r w:rsidR="000057B6">
              <w:rPr>
                <w:rFonts w:asciiTheme="minorHAnsi" w:hAnsiTheme="minorHAnsi" w:cstheme="minorHAnsi"/>
              </w:rPr>
              <w:t>708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6DE58319" w:rsidR="00CC0281" w:rsidRPr="005E0754" w:rsidRDefault="000057B6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0FD2A3E1" w:rsidR="00CC0281" w:rsidRPr="005E0754" w:rsidRDefault="00317404" w:rsidP="000057B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5E0754">
              <w:rPr>
                <w:rFonts w:asciiTheme="minorHAnsi" w:hAnsiTheme="minorHAnsi" w:cstheme="minorHAnsi"/>
              </w:rPr>
              <w:t xml:space="preserve">1 </w:t>
            </w:r>
            <w:r w:rsidR="000057B6">
              <w:rPr>
                <w:rFonts w:asciiTheme="minorHAnsi" w:hAnsiTheme="minorHAnsi" w:cstheme="minorHAnsi"/>
              </w:rPr>
              <w:t>757</w:t>
            </w:r>
          </w:p>
        </w:tc>
      </w:tr>
    </w:tbl>
    <w:p w14:paraId="4A04E878" w14:textId="4A729FC0" w:rsidR="00B66446" w:rsidRPr="005E0754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5E0754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26" w:name="_Toc160433878"/>
      <w:r w:rsidRPr="005E0754">
        <w:rPr>
          <w:rFonts w:asciiTheme="minorHAnsi" w:hAnsiTheme="minorHAnsi" w:cstheme="minorHAnsi"/>
        </w:rPr>
        <w:t>Rozbor</w:t>
      </w:r>
      <w:r w:rsidR="00041A61" w:rsidRPr="005E0754">
        <w:rPr>
          <w:rFonts w:asciiTheme="minorHAnsi" w:hAnsiTheme="minorHAnsi" w:cstheme="minorHAnsi"/>
        </w:rPr>
        <w:t xml:space="preserve"> provozních</w:t>
      </w:r>
      <w:r w:rsidR="009203E0" w:rsidRPr="005E0754">
        <w:rPr>
          <w:rFonts w:asciiTheme="minorHAnsi" w:hAnsiTheme="minorHAnsi" w:cstheme="minorHAnsi"/>
        </w:rPr>
        <w:t xml:space="preserve"> nákladů</w:t>
      </w:r>
      <w:r w:rsidRPr="005E0754">
        <w:rPr>
          <w:rFonts w:asciiTheme="minorHAnsi" w:hAnsiTheme="minorHAnsi" w:cstheme="minorHAnsi"/>
        </w:rPr>
        <w:t xml:space="preserve"> ve zdroji 1100</w:t>
      </w:r>
      <w:bookmarkEnd w:id="126"/>
      <w:r w:rsidRPr="005E0754">
        <w:rPr>
          <w:rFonts w:asciiTheme="minorHAnsi" w:hAnsiTheme="minorHAnsi" w:cstheme="minorHAnsi"/>
        </w:rPr>
        <w:t xml:space="preserve"> </w:t>
      </w:r>
    </w:p>
    <w:p w14:paraId="01FF02AC" w14:textId="77777777" w:rsidR="00835EFB" w:rsidRPr="005E0754" w:rsidRDefault="00835EFB" w:rsidP="00CC0281">
      <w:pPr>
        <w:rPr>
          <w:rFonts w:asciiTheme="minorHAnsi" w:hAnsiTheme="minorHAnsi" w:cstheme="minorHAnsi"/>
        </w:rPr>
      </w:pPr>
    </w:p>
    <w:p w14:paraId="569E4B56" w14:textId="4A30754E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Tabulka níže znázorňuje celkové provozní náklady na F</w:t>
      </w:r>
      <w:r w:rsidR="002F6D97" w:rsidRPr="005E0754">
        <w:rPr>
          <w:rFonts w:asciiTheme="minorHAnsi" w:hAnsiTheme="minorHAnsi" w:cstheme="minorHAnsi"/>
        </w:rPr>
        <w:t>HS</w:t>
      </w:r>
      <w:r w:rsidR="004472BF" w:rsidRPr="005E0754">
        <w:rPr>
          <w:rFonts w:asciiTheme="minorHAnsi" w:hAnsiTheme="minorHAnsi" w:cstheme="minorHAnsi"/>
        </w:rPr>
        <w:t xml:space="preserve"> v roce 2023</w:t>
      </w:r>
      <w:r w:rsidRPr="005E0754">
        <w:rPr>
          <w:rFonts w:asciiTheme="minorHAnsi" w:hAnsiTheme="minorHAnsi" w:cstheme="minorHAnsi"/>
        </w:rPr>
        <w:t>.</w:t>
      </w:r>
    </w:p>
    <w:p w14:paraId="11BCF5F1" w14:textId="77777777" w:rsidR="00CC0281" w:rsidRPr="005E0754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5E0754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5E0754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67703513" w:rsidR="00CC0281" w:rsidRPr="005E0754" w:rsidRDefault="00CC0281" w:rsidP="00B0509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 w:rsidRPr="005E075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</w:t>
            </w:r>
            <w:r w:rsidR="00B0509F">
              <w:rPr>
                <w:rFonts w:asciiTheme="minorHAnsi" w:hAnsiTheme="minorHAnsi" w:cstheme="minorHAnsi"/>
                <w:color w:val="FFFFFF" w:themeColor="background1"/>
              </w:rPr>
              <w:t>3</w:t>
            </w:r>
          </w:p>
        </w:tc>
      </w:tr>
      <w:tr w:rsidR="00CC0281" w:rsidRPr="005E0754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729F93A2" w:rsidR="00CC0281" w:rsidRPr="005E0754" w:rsidRDefault="00AD32C7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14 262</w:t>
            </w:r>
          </w:p>
        </w:tc>
      </w:tr>
    </w:tbl>
    <w:p w14:paraId="034E92D8" w14:textId="77777777" w:rsidR="00CC0281" w:rsidRPr="005E0754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72797B31" w:rsidR="00CC0281" w:rsidRPr="005E0754" w:rsidRDefault="00AD32C7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V porovnání s rokem 2022 došlo v roce 2023</w:t>
      </w:r>
      <w:r w:rsidR="00C2222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 xml:space="preserve">ke </w:t>
      </w:r>
      <w:r w:rsidRPr="005E0754">
        <w:rPr>
          <w:rFonts w:asciiTheme="minorHAnsi" w:hAnsiTheme="minorHAnsi" w:cstheme="minorHAnsi"/>
        </w:rPr>
        <w:t>snížení</w:t>
      </w:r>
      <w:r w:rsidR="009A14CE" w:rsidRPr="005E0754">
        <w:rPr>
          <w:rFonts w:asciiTheme="minorHAnsi" w:hAnsiTheme="minorHAnsi" w:cstheme="minorHAnsi"/>
        </w:rPr>
        <w:t xml:space="preserve"> pr</w:t>
      </w:r>
      <w:r w:rsidR="003545EE" w:rsidRPr="005E0754">
        <w:rPr>
          <w:rFonts w:asciiTheme="minorHAnsi" w:hAnsiTheme="minorHAnsi" w:cstheme="minorHAnsi"/>
        </w:rPr>
        <w:t xml:space="preserve">ovozních nákladů fakulty o </w:t>
      </w:r>
      <w:r w:rsidRPr="005E0754">
        <w:rPr>
          <w:rFonts w:asciiTheme="minorHAnsi" w:hAnsiTheme="minorHAnsi" w:cstheme="minorHAnsi"/>
        </w:rPr>
        <w:t>5,3</w:t>
      </w:r>
      <w:r w:rsidR="009A14CE" w:rsidRPr="005E0754">
        <w:rPr>
          <w:rFonts w:asciiTheme="minorHAnsi" w:hAnsiTheme="minorHAnsi" w:cstheme="minorHAnsi"/>
        </w:rPr>
        <w:t xml:space="preserve"> %</w:t>
      </w:r>
      <w:r w:rsidR="00D364CB" w:rsidRPr="005E0754">
        <w:rPr>
          <w:rFonts w:asciiTheme="minorHAnsi" w:hAnsiTheme="minorHAnsi" w:cstheme="minorHAnsi"/>
        </w:rPr>
        <w:t>,</w:t>
      </w:r>
      <w:r w:rsidR="00E03DC8" w:rsidRPr="005E0754">
        <w:rPr>
          <w:rFonts w:asciiTheme="minorHAnsi" w:hAnsiTheme="minorHAnsi" w:cstheme="minorHAnsi"/>
        </w:rPr>
        <w:t xml:space="preserve"> ve finančním vyjádření</w:t>
      </w:r>
      <w:r w:rsidRPr="005E0754">
        <w:rPr>
          <w:rFonts w:asciiTheme="minorHAnsi" w:hAnsiTheme="minorHAnsi" w:cstheme="minorHAnsi"/>
        </w:rPr>
        <w:t xml:space="preserve"> snížení</w:t>
      </w:r>
      <w:r w:rsidR="00855B04" w:rsidRPr="005E0754">
        <w:rPr>
          <w:rFonts w:asciiTheme="minorHAnsi" w:hAnsiTheme="minorHAnsi" w:cstheme="minorHAnsi"/>
        </w:rPr>
        <w:t xml:space="preserve"> o </w:t>
      </w:r>
      <w:r w:rsidRPr="005E0754">
        <w:rPr>
          <w:rFonts w:asciiTheme="minorHAnsi" w:hAnsiTheme="minorHAnsi" w:cstheme="minorHAnsi"/>
        </w:rPr>
        <w:t>797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9A14CE" w:rsidRPr="005E0754">
        <w:rPr>
          <w:rFonts w:asciiTheme="minorHAnsi" w:hAnsiTheme="minorHAnsi" w:cstheme="minorHAnsi"/>
        </w:rPr>
        <w:t xml:space="preserve">. </w:t>
      </w:r>
      <w:r w:rsidRPr="005E0754">
        <w:rPr>
          <w:rFonts w:asciiTheme="minorHAnsi" w:hAnsiTheme="minorHAnsi" w:cstheme="minorHAnsi"/>
        </w:rPr>
        <w:t>Snížení</w:t>
      </w:r>
      <w:r w:rsidR="00A46CC2" w:rsidRPr="005E0754">
        <w:rPr>
          <w:rFonts w:asciiTheme="minorHAnsi" w:hAnsiTheme="minorHAnsi" w:cstheme="minorHAnsi"/>
        </w:rPr>
        <w:t xml:space="preserve"> provozních náklad</w:t>
      </w:r>
      <w:r w:rsidR="00A46CC2" w:rsidRPr="005E0754">
        <w:rPr>
          <w:rFonts w:ascii="Calibri" w:hAnsi="Calibri" w:cstheme="minorHAnsi"/>
        </w:rPr>
        <w:t xml:space="preserve">ů </w:t>
      </w:r>
      <w:r w:rsidRPr="005E0754">
        <w:rPr>
          <w:rFonts w:ascii="Calibri" w:hAnsi="Calibri"/>
        </w:rPr>
        <w:t>je způsobeno tím, že část nákladů na budovy byly účtovány a hrazeny z účelově určených prostředků na energie (příspěvek)</w:t>
      </w:r>
      <w:r w:rsidR="00CC0281" w:rsidRPr="005E0754">
        <w:rPr>
          <w:rFonts w:asciiTheme="minorHAnsi" w:hAnsiTheme="minorHAnsi" w:cstheme="minorHAnsi"/>
        </w:rPr>
        <w:t>. Mezi nejvýznamn</w:t>
      </w:r>
      <w:r w:rsidR="003545EE" w:rsidRPr="005E0754">
        <w:rPr>
          <w:rFonts w:asciiTheme="minorHAnsi" w:hAnsiTheme="minorHAnsi" w:cstheme="minorHAnsi"/>
        </w:rPr>
        <w:t>ě</w:t>
      </w:r>
      <w:r w:rsidR="008327C4" w:rsidRPr="005E0754">
        <w:rPr>
          <w:rFonts w:asciiTheme="minorHAnsi" w:hAnsiTheme="minorHAnsi" w:cstheme="minorHAnsi"/>
        </w:rPr>
        <w:t>jší provozní náklady za rok 2023</w:t>
      </w:r>
      <w:r w:rsidR="00CC0281" w:rsidRPr="005E0754">
        <w:rPr>
          <w:rFonts w:asciiTheme="minorHAnsi" w:hAnsiTheme="minorHAnsi" w:cstheme="minorHAnsi"/>
        </w:rPr>
        <w:t xml:space="preserve"> patří dle nákladových účtů:</w:t>
      </w:r>
    </w:p>
    <w:p w14:paraId="331DE9C3" w14:textId="20B26DAD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720100 (přeúčtování společných nákladů na budovy UTB) ve výši</w:t>
      </w:r>
      <w:r w:rsidR="008327C4" w:rsidRPr="005E0754">
        <w:rPr>
          <w:rFonts w:asciiTheme="minorHAnsi" w:hAnsiTheme="minorHAnsi" w:cstheme="minorHAnsi"/>
        </w:rPr>
        <w:t xml:space="preserve"> 7 775</w:t>
      </w:r>
      <w:r w:rsidRPr="005E0754">
        <w:rPr>
          <w:rFonts w:asciiTheme="minorHAnsi" w:hAnsiTheme="minorHAnsi" w:cstheme="minorHAnsi"/>
        </w:rPr>
        <w:t xml:space="preserve"> tis. Kč</w:t>
      </w:r>
      <w:r w:rsidR="00E03DC8" w:rsidRPr="005E0754">
        <w:rPr>
          <w:rFonts w:asciiTheme="minorHAnsi" w:hAnsiTheme="minorHAnsi" w:cstheme="minorHAnsi"/>
        </w:rPr>
        <w:t xml:space="preserve">, </w:t>
      </w:r>
      <w:r w:rsidR="008327C4" w:rsidRPr="005E0754">
        <w:rPr>
          <w:rFonts w:asciiTheme="minorHAnsi" w:hAnsiTheme="minorHAnsi" w:cstheme="minorHAnsi"/>
        </w:rPr>
        <w:t>snížení oproti roku 2022</w:t>
      </w:r>
      <w:r w:rsidR="00E03DC8" w:rsidRPr="005E0754">
        <w:rPr>
          <w:rFonts w:asciiTheme="minorHAnsi" w:hAnsiTheme="minorHAnsi" w:cstheme="minorHAnsi"/>
        </w:rPr>
        <w:t xml:space="preserve"> o </w:t>
      </w:r>
      <w:r w:rsidR="00855B04" w:rsidRPr="005E0754">
        <w:rPr>
          <w:rFonts w:asciiTheme="minorHAnsi" w:hAnsiTheme="minorHAnsi" w:cstheme="minorHAnsi"/>
        </w:rPr>
        <w:t>2 6</w:t>
      </w:r>
      <w:r w:rsidR="008327C4" w:rsidRPr="005E0754">
        <w:rPr>
          <w:rFonts w:asciiTheme="minorHAnsi" w:hAnsiTheme="minorHAnsi" w:cstheme="minorHAnsi"/>
        </w:rPr>
        <w:t>66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A46CC2" w:rsidRPr="005E0754">
        <w:rPr>
          <w:rFonts w:asciiTheme="minorHAnsi" w:hAnsiTheme="minorHAnsi" w:cstheme="minorHAnsi"/>
        </w:rPr>
        <w:t>,</w:t>
      </w:r>
    </w:p>
    <w:p w14:paraId="1D9DB356" w14:textId="4073EC07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501 (spotřeba materiálu) ve výši </w:t>
      </w:r>
      <w:r w:rsidR="00E03DC8" w:rsidRPr="005E0754">
        <w:rPr>
          <w:rFonts w:asciiTheme="minorHAnsi" w:hAnsiTheme="minorHAnsi" w:cstheme="minorHAnsi"/>
        </w:rPr>
        <w:t xml:space="preserve">1 </w:t>
      </w:r>
      <w:r w:rsidR="00AD32C7" w:rsidRPr="005E0754">
        <w:rPr>
          <w:rFonts w:asciiTheme="minorHAnsi" w:hAnsiTheme="minorHAnsi" w:cstheme="minorHAnsi"/>
        </w:rPr>
        <w:t>797</w:t>
      </w:r>
      <w:r w:rsidRPr="005E0754">
        <w:rPr>
          <w:rFonts w:asciiTheme="minorHAnsi" w:hAnsiTheme="minorHAnsi" w:cstheme="minorHAnsi"/>
        </w:rPr>
        <w:t xml:space="preserve"> tis. </w:t>
      </w:r>
      <w:r w:rsidR="00A46CC2" w:rsidRPr="005E0754">
        <w:rPr>
          <w:rFonts w:asciiTheme="minorHAnsi" w:hAnsiTheme="minorHAnsi" w:cstheme="minorHAnsi"/>
        </w:rPr>
        <w:t>Kč</w:t>
      </w:r>
      <w:r w:rsidR="00220783" w:rsidRPr="005E0754">
        <w:rPr>
          <w:rFonts w:asciiTheme="minorHAnsi" w:hAnsiTheme="minorHAnsi" w:cstheme="minorHAnsi"/>
        </w:rPr>
        <w:t>,</w:t>
      </w:r>
      <w:r w:rsidR="003545E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>jedná se zejména o obměnu výpočetní techniky</w:t>
      </w:r>
      <w:r w:rsidR="00670B72" w:rsidRPr="005E0754">
        <w:rPr>
          <w:rFonts w:asciiTheme="minorHAnsi" w:hAnsiTheme="minorHAnsi" w:cstheme="minorHAnsi"/>
        </w:rPr>
        <w:t>,</w:t>
      </w:r>
    </w:p>
    <w:p w14:paraId="3A329858" w14:textId="6BAA993A" w:rsidR="00AD32C7" w:rsidRPr="005E0754" w:rsidRDefault="00AD32C7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511 (opravy a udržování) ve výši 1 140 tis. Kč, jedná s</w:t>
      </w:r>
      <w:r w:rsidR="00AE6EFD" w:rsidRPr="005E0754">
        <w:rPr>
          <w:rFonts w:asciiTheme="minorHAnsi" w:hAnsiTheme="minorHAnsi" w:cstheme="minorHAnsi"/>
        </w:rPr>
        <w:t>e zejména o výměnu a modernizaci</w:t>
      </w:r>
      <w:r w:rsidRPr="005E0754">
        <w:rPr>
          <w:rFonts w:asciiTheme="minorHAnsi" w:hAnsiTheme="minorHAnsi" w:cstheme="minorHAnsi"/>
        </w:rPr>
        <w:t xml:space="preserve"> zámků u šatních skříněk pro studenty,</w:t>
      </w:r>
    </w:p>
    <w:p w14:paraId="45F5A762" w14:textId="66A9303E" w:rsidR="00CC0281" w:rsidRPr="005E0754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lastRenderedPageBreak/>
        <w:t>518 (ostatní služby) ve výši 1 5</w:t>
      </w:r>
      <w:r w:rsidR="00855B04" w:rsidRPr="005E0754">
        <w:rPr>
          <w:rFonts w:asciiTheme="minorHAnsi" w:hAnsiTheme="minorHAnsi" w:cstheme="minorHAnsi"/>
        </w:rPr>
        <w:t>4</w:t>
      </w:r>
      <w:r w:rsidR="00AD32C7" w:rsidRPr="005E0754">
        <w:rPr>
          <w:rFonts w:asciiTheme="minorHAnsi" w:hAnsiTheme="minorHAnsi" w:cstheme="minorHAnsi"/>
        </w:rPr>
        <w:t>5</w:t>
      </w:r>
      <w:r w:rsidR="00CC0281" w:rsidRPr="005E0754">
        <w:rPr>
          <w:rFonts w:asciiTheme="minorHAnsi" w:hAnsiTheme="minorHAnsi" w:cstheme="minorHAnsi"/>
        </w:rPr>
        <w:t xml:space="preserve"> tis. Kč</w:t>
      </w:r>
      <w:r w:rsidR="00220783" w:rsidRPr="005E0754">
        <w:rPr>
          <w:rFonts w:asciiTheme="minorHAnsi" w:hAnsiTheme="minorHAnsi" w:cstheme="minorHAnsi"/>
        </w:rPr>
        <w:t>,</w:t>
      </w:r>
      <w:r w:rsidRPr="005E0754">
        <w:rPr>
          <w:rFonts w:asciiTheme="minorHAnsi" w:hAnsiTheme="minorHAnsi" w:cstheme="minorHAnsi"/>
        </w:rPr>
        <w:t xml:space="preserve"> </w:t>
      </w:r>
      <w:r w:rsidR="00855B04" w:rsidRPr="005E0754">
        <w:rPr>
          <w:rFonts w:asciiTheme="minorHAnsi" w:hAnsiTheme="minorHAnsi" w:cstheme="minorHAnsi"/>
        </w:rPr>
        <w:t>zahrnuje zejména poštovní služby, inzerci, reprografické služby, školení pro zaměstnance</w:t>
      </w:r>
      <w:r w:rsidR="00AE6EFD" w:rsidRPr="005E0754">
        <w:rPr>
          <w:rFonts w:asciiTheme="minorHAnsi" w:hAnsiTheme="minorHAnsi" w:cstheme="minorHAnsi"/>
        </w:rPr>
        <w:t>, nájemné</w:t>
      </w:r>
      <w:r w:rsidR="00855B04" w:rsidRPr="005E0754">
        <w:rPr>
          <w:rFonts w:asciiTheme="minorHAnsi" w:hAnsiTheme="minorHAnsi" w:cstheme="minorHAnsi"/>
        </w:rPr>
        <w:t xml:space="preserve"> a další</w:t>
      </w:r>
      <w:r w:rsidR="00E078EA" w:rsidRPr="005E0754">
        <w:rPr>
          <w:rFonts w:asciiTheme="minorHAnsi" w:hAnsiTheme="minorHAnsi" w:cstheme="minorHAnsi"/>
        </w:rPr>
        <w:t>.</w:t>
      </w:r>
    </w:p>
    <w:p w14:paraId="7C233CD4" w14:textId="77777777" w:rsidR="005E5D27" w:rsidRPr="005E0754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E0754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27" w:name="_Toc160433879"/>
      <w:r w:rsidRPr="005E0754">
        <w:rPr>
          <w:rFonts w:asciiTheme="minorHAnsi" w:hAnsiTheme="minorHAnsi" w:cstheme="minorHAnsi"/>
        </w:rPr>
        <w:t xml:space="preserve">Osobní náklady </w:t>
      </w:r>
      <w:r w:rsidR="00636C38" w:rsidRPr="005E0754">
        <w:rPr>
          <w:rFonts w:asciiTheme="minorHAnsi" w:hAnsiTheme="minorHAnsi" w:cstheme="minorHAnsi"/>
        </w:rPr>
        <w:t>FHS</w:t>
      </w:r>
      <w:bookmarkEnd w:id="127"/>
    </w:p>
    <w:p w14:paraId="5F4D7A80" w14:textId="32C05374" w:rsidR="00BA289C" w:rsidRPr="005E0754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Nejvýznamnější položk</w:t>
      </w:r>
      <w:r w:rsidR="0012374B" w:rsidRPr="005E0754">
        <w:rPr>
          <w:rFonts w:asciiTheme="minorHAnsi" w:hAnsiTheme="minorHAnsi" w:cstheme="minorHAnsi"/>
        </w:rPr>
        <w:t>ou</w:t>
      </w:r>
      <w:r w:rsidRPr="005E0754">
        <w:rPr>
          <w:rFonts w:asciiTheme="minorHAnsi" w:hAnsiTheme="minorHAnsi" w:cstheme="minorHAnsi"/>
        </w:rPr>
        <w:t xml:space="preserve"> v rámci nákladů jsou osobní náklady. V roce 20</w:t>
      </w:r>
      <w:r w:rsidR="009513EB" w:rsidRPr="005E0754">
        <w:rPr>
          <w:rFonts w:asciiTheme="minorHAnsi" w:hAnsiTheme="minorHAnsi" w:cstheme="minorHAnsi"/>
        </w:rPr>
        <w:t>23</w:t>
      </w:r>
      <w:r w:rsidRPr="005E0754">
        <w:rPr>
          <w:rFonts w:asciiTheme="minorHAnsi" w:hAnsiTheme="minorHAnsi" w:cstheme="minorHAnsi"/>
        </w:rPr>
        <w:t xml:space="preserve"> </w:t>
      </w:r>
      <w:r w:rsidR="0012374B" w:rsidRPr="005E0754">
        <w:rPr>
          <w:rFonts w:asciiTheme="minorHAnsi" w:hAnsiTheme="minorHAnsi" w:cstheme="minorHAnsi"/>
        </w:rPr>
        <w:t>byly</w:t>
      </w:r>
      <w:r w:rsidRPr="005E0754">
        <w:rPr>
          <w:rFonts w:asciiTheme="minorHAnsi" w:hAnsiTheme="minorHAnsi" w:cstheme="minorHAnsi"/>
        </w:rPr>
        <w:t xml:space="preserve"> osobní náklady ve zdroji 1100 ve výši </w:t>
      </w:r>
      <w:r w:rsidR="009513EB" w:rsidRPr="005E0754">
        <w:rPr>
          <w:rFonts w:asciiTheme="minorHAnsi" w:hAnsiTheme="minorHAnsi" w:cstheme="minorHAnsi"/>
          <w:b/>
        </w:rPr>
        <w:t>90 395</w:t>
      </w:r>
      <w:r w:rsidRPr="005E0754">
        <w:rPr>
          <w:rFonts w:asciiTheme="minorHAnsi" w:hAnsiTheme="minorHAnsi" w:cstheme="minorHAnsi"/>
          <w:b/>
        </w:rPr>
        <w:t xml:space="preserve"> tis. Kč.</w:t>
      </w:r>
      <w:r w:rsidR="00BA289C" w:rsidRPr="005E0754">
        <w:rPr>
          <w:rFonts w:asciiTheme="minorHAnsi" w:hAnsiTheme="minorHAnsi" w:cstheme="minorHAnsi"/>
          <w:b/>
        </w:rPr>
        <w:t xml:space="preserve"> </w:t>
      </w:r>
      <w:r w:rsidR="00BA289C" w:rsidRPr="005E0754">
        <w:rPr>
          <w:rFonts w:asciiTheme="minorHAnsi" w:hAnsiTheme="minorHAnsi" w:cstheme="minorHAnsi"/>
        </w:rPr>
        <w:t xml:space="preserve">Podíl dohod o pracovní činnosti a </w:t>
      </w:r>
      <w:r w:rsidR="0012374B" w:rsidRPr="005E0754">
        <w:rPr>
          <w:rFonts w:asciiTheme="minorHAnsi" w:hAnsiTheme="minorHAnsi" w:cstheme="minorHAnsi"/>
        </w:rPr>
        <w:t xml:space="preserve">dohod </w:t>
      </w:r>
      <w:r w:rsidR="00BA289C" w:rsidRPr="005E0754">
        <w:rPr>
          <w:rFonts w:asciiTheme="minorHAnsi" w:hAnsiTheme="minorHAnsi" w:cstheme="minorHAnsi"/>
        </w:rPr>
        <w:t>o</w:t>
      </w:r>
      <w:r w:rsidR="0012374B" w:rsidRPr="005E0754">
        <w:rPr>
          <w:rFonts w:asciiTheme="minorHAnsi" w:hAnsiTheme="minorHAnsi" w:cstheme="minorHAnsi"/>
        </w:rPr>
        <w:t> </w:t>
      </w:r>
      <w:r w:rsidR="008B0C2F" w:rsidRPr="005E0754">
        <w:rPr>
          <w:rFonts w:asciiTheme="minorHAnsi" w:hAnsiTheme="minorHAnsi" w:cstheme="minorHAnsi"/>
        </w:rPr>
        <w:t xml:space="preserve">provedení práce činí </w:t>
      </w:r>
      <w:r w:rsidR="009513EB" w:rsidRPr="005E0754">
        <w:rPr>
          <w:rFonts w:asciiTheme="minorHAnsi" w:hAnsiTheme="minorHAnsi" w:cstheme="minorHAnsi"/>
        </w:rPr>
        <w:t>3,97</w:t>
      </w:r>
      <w:r w:rsidR="008330DC" w:rsidRPr="005E0754">
        <w:rPr>
          <w:rFonts w:asciiTheme="minorHAnsi" w:hAnsiTheme="minorHAnsi" w:cstheme="minorHAnsi"/>
        </w:rPr>
        <w:t xml:space="preserve"> </w:t>
      </w:r>
      <w:r w:rsidR="00BA289C" w:rsidRPr="005E0754">
        <w:rPr>
          <w:rFonts w:asciiTheme="minorHAnsi" w:hAnsiTheme="minorHAnsi" w:cstheme="minorHAnsi"/>
        </w:rPr>
        <w:t xml:space="preserve">% </w:t>
      </w:r>
      <w:r w:rsidR="0012374B" w:rsidRPr="005E0754">
        <w:rPr>
          <w:rFonts w:asciiTheme="minorHAnsi" w:hAnsiTheme="minorHAnsi" w:cstheme="minorHAnsi"/>
        </w:rPr>
        <w:t>z</w:t>
      </w:r>
      <w:r w:rsidR="00BA289C" w:rsidRPr="005E0754">
        <w:rPr>
          <w:rFonts w:asciiTheme="minorHAnsi" w:hAnsiTheme="minorHAnsi" w:cstheme="minorHAnsi"/>
        </w:rPr>
        <w:t xml:space="preserve"> celkových mzdových náklad</w:t>
      </w:r>
      <w:r w:rsidR="0012374B" w:rsidRPr="005E0754">
        <w:rPr>
          <w:rFonts w:asciiTheme="minorHAnsi" w:hAnsiTheme="minorHAnsi" w:cstheme="minorHAnsi"/>
        </w:rPr>
        <w:t>ů</w:t>
      </w:r>
      <w:r w:rsidR="00BA289C" w:rsidRPr="005E0754">
        <w:rPr>
          <w:rFonts w:asciiTheme="minorHAnsi" w:hAnsiTheme="minorHAnsi" w:cstheme="minorHAnsi"/>
        </w:rPr>
        <w:t xml:space="preserve"> v případě zdroje 1100.</w:t>
      </w:r>
      <w:r w:rsidR="00356E46" w:rsidRPr="005E0754">
        <w:rPr>
          <w:rFonts w:asciiTheme="minorHAnsi" w:hAnsiTheme="minorHAnsi" w:cstheme="minorHAnsi"/>
        </w:rPr>
        <w:t xml:space="preserve"> Významný nárůst osobních nákladů ve zdroji 1100 je způsoben tím, že projekt Národní program obnovy byl účetně veden ve zdroji 1100.</w:t>
      </w:r>
      <w:r w:rsidR="008654DA" w:rsidRPr="005E0754">
        <w:rPr>
          <w:rFonts w:asciiTheme="minorHAnsi" w:hAnsiTheme="minorHAnsi" w:cstheme="minorHAnsi"/>
        </w:rPr>
        <w:t xml:space="preserve"> </w:t>
      </w:r>
      <w:r w:rsidR="00012125" w:rsidRPr="005E0754">
        <w:rPr>
          <w:rFonts w:asciiTheme="minorHAnsi" w:hAnsiTheme="minorHAnsi" w:cstheme="minorHAnsi"/>
        </w:rPr>
        <w:t>Mzdové náklady</w:t>
      </w:r>
      <w:r w:rsidR="0095707E" w:rsidRPr="005E0754">
        <w:rPr>
          <w:rFonts w:asciiTheme="minorHAnsi" w:hAnsiTheme="minorHAnsi" w:cstheme="minorHAnsi"/>
        </w:rPr>
        <w:t xml:space="preserve"> ve vybraných zdrojích</w:t>
      </w:r>
      <w:r w:rsidR="00012125" w:rsidRPr="005E0754">
        <w:rPr>
          <w:rFonts w:asciiTheme="minorHAnsi" w:hAnsiTheme="minorHAnsi" w:cstheme="minorHAnsi"/>
        </w:rPr>
        <w:t xml:space="preserve"> bez dohod uzavřených dle § 75 a § 76 zákoníku práce</w:t>
      </w:r>
      <w:r w:rsidR="000A18A9" w:rsidRPr="005E0754">
        <w:rPr>
          <w:rFonts w:asciiTheme="minorHAnsi" w:hAnsiTheme="minorHAnsi" w:cstheme="minorHAnsi"/>
        </w:rPr>
        <w:t xml:space="preserve"> se v roce 2023</w:t>
      </w:r>
      <w:r w:rsidR="008B0C2F" w:rsidRPr="005E0754">
        <w:rPr>
          <w:rFonts w:asciiTheme="minorHAnsi" w:hAnsiTheme="minorHAnsi" w:cstheme="minorHAnsi"/>
        </w:rPr>
        <w:t xml:space="preserve"> zvýšily oproti</w:t>
      </w:r>
      <w:r w:rsidR="000A18A9" w:rsidRPr="005E0754">
        <w:rPr>
          <w:rFonts w:asciiTheme="minorHAnsi" w:hAnsiTheme="minorHAnsi" w:cstheme="minorHAnsi"/>
        </w:rPr>
        <w:t xml:space="preserve"> roku 2022</w:t>
      </w:r>
      <w:r w:rsidR="00012125" w:rsidRPr="005E0754">
        <w:rPr>
          <w:rFonts w:asciiTheme="minorHAnsi" w:hAnsiTheme="minorHAnsi" w:cstheme="minorHAnsi"/>
        </w:rPr>
        <w:t xml:space="preserve"> o </w:t>
      </w:r>
      <w:r w:rsidR="00727A5E" w:rsidRPr="005E0754">
        <w:rPr>
          <w:rFonts w:asciiTheme="minorHAnsi" w:hAnsiTheme="minorHAnsi" w:cstheme="minorHAnsi"/>
          <w:b/>
        </w:rPr>
        <w:t>2 8</w:t>
      </w:r>
      <w:r w:rsidR="00356E46" w:rsidRPr="005E0754">
        <w:rPr>
          <w:rFonts w:asciiTheme="minorHAnsi" w:hAnsiTheme="minorHAnsi" w:cstheme="minorHAnsi"/>
          <w:b/>
        </w:rPr>
        <w:t>65</w:t>
      </w:r>
      <w:r w:rsidR="00012125" w:rsidRPr="005E0754">
        <w:rPr>
          <w:rFonts w:asciiTheme="minorHAnsi" w:hAnsiTheme="minorHAnsi" w:cstheme="minorHAnsi"/>
          <w:b/>
        </w:rPr>
        <w:t xml:space="preserve"> tis. Kč</w:t>
      </w:r>
      <w:r w:rsidR="00012125" w:rsidRPr="005E0754">
        <w:rPr>
          <w:rFonts w:asciiTheme="minorHAnsi" w:hAnsiTheme="minorHAnsi" w:cstheme="minorHAnsi"/>
        </w:rPr>
        <w:t>.</w:t>
      </w:r>
      <w:r w:rsidR="00B0136E" w:rsidRPr="005E0754">
        <w:rPr>
          <w:rFonts w:asciiTheme="minorHAnsi" w:hAnsiTheme="minorHAnsi" w:cstheme="minorHAnsi"/>
        </w:rPr>
        <w:t xml:space="preserve"> Celkové osobní náklady</w:t>
      </w:r>
      <w:r w:rsidR="006E239C" w:rsidRPr="005E0754">
        <w:rPr>
          <w:rFonts w:asciiTheme="minorHAnsi" w:hAnsiTheme="minorHAnsi" w:cstheme="minorHAnsi"/>
        </w:rPr>
        <w:t xml:space="preserve"> ve vybraných zdrojích se zvýšily</w:t>
      </w:r>
      <w:r w:rsidR="00356E46" w:rsidRPr="005E0754">
        <w:rPr>
          <w:rFonts w:asciiTheme="minorHAnsi" w:hAnsiTheme="minorHAnsi" w:cstheme="minorHAnsi"/>
        </w:rPr>
        <w:t xml:space="preserve"> v roce 2023</w:t>
      </w:r>
      <w:r w:rsidR="00B0136E" w:rsidRPr="005E0754">
        <w:rPr>
          <w:rFonts w:asciiTheme="minorHAnsi" w:hAnsiTheme="minorHAnsi" w:cstheme="minorHAnsi"/>
        </w:rPr>
        <w:t xml:space="preserve"> oproti roku </w:t>
      </w:r>
      <w:r w:rsidR="00356E46" w:rsidRPr="005E0754">
        <w:rPr>
          <w:rFonts w:asciiTheme="minorHAnsi" w:hAnsiTheme="minorHAnsi" w:cstheme="minorHAnsi"/>
        </w:rPr>
        <w:t>2022</w:t>
      </w:r>
      <w:r w:rsidR="006E239C" w:rsidRPr="005E0754">
        <w:rPr>
          <w:rFonts w:asciiTheme="minorHAnsi" w:hAnsiTheme="minorHAnsi" w:cstheme="minorHAnsi"/>
        </w:rPr>
        <w:t xml:space="preserve"> o </w:t>
      </w:r>
      <w:r w:rsidR="00727A5E" w:rsidRPr="005E0754">
        <w:rPr>
          <w:rFonts w:asciiTheme="minorHAnsi" w:hAnsiTheme="minorHAnsi" w:cstheme="minorHAnsi"/>
          <w:b/>
        </w:rPr>
        <w:t xml:space="preserve">3 </w:t>
      </w:r>
      <w:r w:rsidR="00356E46" w:rsidRPr="005E0754">
        <w:rPr>
          <w:rFonts w:asciiTheme="minorHAnsi" w:hAnsiTheme="minorHAnsi" w:cstheme="minorHAnsi"/>
          <w:b/>
        </w:rPr>
        <w:t>493</w:t>
      </w:r>
      <w:r w:rsidR="006E239C" w:rsidRPr="005E0754">
        <w:rPr>
          <w:rFonts w:asciiTheme="minorHAnsi" w:hAnsiTheme="minorHAnsi" w:cstheme="minorHAnsi"/>
          <w:b/>
        </w:rPr>
        <w:t xml:space="preserve"> tis. Kč</w:t>
      </w:r>
      <w:r w:rsidR="006E239C" w:rsidRPr="005E0754">
        <w:rPr>
          <w:rFonts w:asciiTheme="minorHAnsi" w:hAnsiTheme="minorHAnsi" w:cstheme="minorHAnsi"/>
        </w:rPr>
        <w:t>.</w:t>
      </w:r>
    </w:p>
    <w:p w14:paraId="6963FCA8" w14:textId="5EFCC6C3" w:rsidR="00AB7D34" w:rsidRPr="005E0754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Navýšení celkových osobních nákladů je </w:t>
      </w:r>
      <w:r w:rsidR="0063426E" w:rsidRPr="005E0754">
        <w:rPr>
          <w:rFonts w:asciiTheme="minorHAnsi" w:hAnsiTheme="minorHAnsi" w:cstheme="minorHAnsi"/>
        </w:rPr>
        <w:t xml:space="preserve">patrné </w:t>
      </w:r>
      <w:r w:rsidRPr="005E0754">
        <w:rPr>
          <w:rFonts w:asciiTheme="minorHAnsi" w:hAnsiTheme="minorHAnsi" w:cstheme="minorHAnsi"/>
        </w:rPr>
        <w:t>zejména v nákladových druzích Mzdové náklady – tarif, další mzda, což je způsobeno rozšiřováním personální struktury FHS</w:t>
      </w:r>
      <w:r w:rsidR="0063426E" w:rsidRPr="005E0754">
        <w:rPr>
          <w:rFonts w:asciiTheme="minorHAnsi" w:hAnsiTheme="minorHAnsi" w:cstheme="minorHAnsi"/>
        </w:rPr>
        <w:t xml:space="preserve">. </w:t>
      </w:r>
    </w:p>
    <w:p w14:paraId="18683EA4" w14:textId="5B70089E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Z vybraných zdrojů se zdroj 1100 podílí na pokrytí ce</w:t>
      </w:r>
      <w:r w:rsidR="00CC0281" w:rsidRPr="005E0754">
        <w:rPr>
          <w:rFonts w:asciiTheme="minorHAnsi" w:hAnsiTheme="minorHAnsi" w:cstheme="minorHAnsi"/>
        </w:rPr>
        <w:t xml:space="preserve">lkových osobních </w:t>
      </w:r>
      <w:r w:rsidR="005C44ED" w:rsidRPr="005E0754">
        <w:rPr>
          <w:rFonts w:asciiTheme="minorHAnsi" w:hAnsiTheme="minorHAnsi" w:cstheme="minorHAnsi"/>
        </w:rPr>
        <w:t xml:space="preserve">nákladů </w:t>
      </w:r>
      <w:r w:rsidR="00CC0281" w:rsidRPr="005E0754">
        <w:rPr>
          <w:rFonts w:asciiTheme="minorHAnsi" w:hAnsiTheme="minorHAnsi" w:cstheme="minorHAnsi"/>
        </w:rPr>
        <w:t>z</w:t>
      </w:r>
      <w:r w:rsidR="00B77C43" w:rsidRPr="005E0754">
        <w:rPr>
          <w:rFonts w:asciiTheme="minorHAnsi" w:hAnsiTheme="minorHAnsi" w:cstheme="minorHAnsi"/>
        </w:rPr>
        <w:t> 89,34</w:t>
      </w:r>
      <w:r w:rsidR="00B06A3C" w:rsidRPr="005E0754">
        <w:rPr>
          <w:rFonts w:asciiTheme="minorHAnsi" w:hAnsiTheme="minorHAnsi" w:cstheme="minorHAnsi"/>
        </w:rPr>
        <w:t xml:space="preserve"> %</w:t>
      </w:r>
      <w:r w:rsidRPr="005E0754">
        <w:rPr>
          <w:rFonts w:asciiTheme="minorHAnsi" w:hAnsiTheme="minorHAnsi" w:cstheme="minorHAnsi"/>
        </w:rPr>
        <w:t xml:space="preserve">. </w:t>
      </w:r>
      <w:r w:rsidR="00BA289C" w:rsidRPr="005E0754">
        <w:rPr>
          <w:rFonts w:asciiTheme="minorHAnsi" w:hAnsiTheme="minorHAnsi" w:cstheme="minorHAnsi"/>
        </w:rPr>
        <w:t>Tabulka níže znázorňuje rozpis mzdových nákladů dle</w:t>
      </w:r>
      <w:r w:rsidR="00BB2EEC" w:rsidRPr="005E0754">
        <w:rPr>
          <w:rFonts w:asciiTheme="minorHAnsi" w:hAnsiTheme="minorHAnsi" w:cstheme="minorHAnsi"/>
        </w:rPr>
        <w:t> </w:t>
      </w:r>
      <w:r w:rsidR="00BA289C" w:rsidRPr="005E0754">
        <w:rPr>
          <w:rFonts w:asciiTheme="minorHAnsi" w:hAnsiTheme="minorHAnsi" w:cstheme="minorHAnsi"/>
        </w:rPr>
        <w:t xml:space="preserve">nejvýznamnějších </w:t>
      </w:r>
      <w:r w:rsidR="009B1253" w:rsidRPr="005E0754">
        <w:rPr>
          <w:rFonts w:asciiTheme="minorHAnsi" w:hAnsiTheme="minorHAnsi" w:cstheme="minorHAnsi"/>
        </w:rPr>
        <w:t>dílčích zdrojů financování.</w:t>
      </w:r>
    </w:p>
    <w:p w14:paraId="64349ED9" w14:textId="15F8DC3C" w:rsidR="00D50C65" w:rsidRDefault="00356C32" w:rsidP="00304FE0">
      <w:pPr>
        <w:ind w:left="0" w:right="4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>
      <w:pPr>
        <w:ind w:right="4"/>
        <w:jc w:val="center"/>
        <w:rPr>
          <w:rFonts w:asciiTheme="minorHAnsi" w:hAnsiTheme="minorHAnsi" w:cstheme="minorHAnsi"/>
          <w:sz w:val="22"/>
        </w:rPr>
        <w:pPrChange w:id="128" w:author="Libor Marek" w:date="2024-04-03T17:32:00Z">
          <w:pPr>
            <w:ind w:left="8222" w:right="4" w:firstLine="0"/>
          </w:pPr>
        </w:pPrChange>
      </w:pPr>
      <w:r w:rsidRPr="00FE4EB8">
        <w:rPr>
          <w:rFonts w:asciiTheme="minorHAnsi" w:hAnsiTheme="minorHAnsi" w:cstheme="minorHAnsi"/>
        </w:rPr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BF5584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4538E5F1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84BFEF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0979E9B9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4455B8D2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45D36D4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3FD45A48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F6FC612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13F6F6CD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A691263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348ECE6B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2111DF2E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67DCBF06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177" w14:textId="0E6FE773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27 765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5C1C" w14:textId="1510B3FB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1 878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BC1" w14:textId="5F20A51C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964B" w14:textId="1D4D518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CC4" w14:textId="6DF4F03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95CC" w14:textId="32A219C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8E98" w14:textId="0160C7A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51B" w14:textId="3C516A0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842" w14:textId="4A2CE43A" w:rsidR="00D50C65" w:rsidRPr="00D50C65" w:rsidRDefault="0011065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8CF" w14:textId="6C8A873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A85A" w14:textId="17068E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65A7" w14:textId="266541A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328" w14:textId="1F5EAAC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32 155</w:t>
            </w:r>
          </w:p>
        </w:tc>
      </w:tr>
      <w:tr w:rsidR="00D50C65" w:rsidRPr="00D50C65" w14:paraId="28A6AF56" w14:textId="77777777" w:rsidTr="00BF558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879A" w14:textId="3125AE1F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12 394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9F2" w14:textId="026B03D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E24C" w14:textId="0EA0CEA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6156" w14:textId="3A3E1DF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1760" w14:textId="68B060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B6E3" w14:textId="64DA9B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E36E" w14:textId="261F4A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B8F2" w14:textId="1A5E304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E86A" w14:textId="2EF45A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15CF" w14:textId="434B5BE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5DE0" w14:textId="624F8BF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0C48" w14:textId="151CFBD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D895" w14:textId="7BDA79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13 537</w:t>
            </w:r>
          </w:p>
        </w:tc>
      </w:tr>
      <w:tr w:rsidR="00D50C65" w:rsidRPr="00D50C65" w14:paraId="7640AE09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8ED" w14:textId="328FE317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62CA" w14:textId="5E7EC1FE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BF4B" w14:textId="4A25177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6E8" w14:textId="7C101F6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90C5" w14:textId="51636B2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C223" w14:textId="3182EE9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120" w14:textId="6629DAA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E91" w14:textId="2A6F703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17A0" w14:textId="4E22FA9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44FE" w14:textId="3D1157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A574" w14:textId="4D7A27A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4389" w14:textId="13F635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3ED" w14:textId="05DEEF4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344</w:t>
            </w:r>
          </w:p>
        </w:tc>
      </w:tr>
      <w:tr w:rsidR="00D50C65" w:rsidRPr="00D50C65" w14:paraId="3086C46C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FE7F" w14:textId="7C4EAE53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16 244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4BDE" w14:textId="0FE03D4C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5B2" w14:textId="0C02038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6388" w14:textId="1190FB9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3863" w14:textId="6E11DF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21F4" w14:textId="070913B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E60" w14:textId="0D7F9A1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1F75" w14:textId="1031701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A964" w14:textId="7FDFF76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2BA9" w14:textId="5D4D242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AD10" w14:textId="128346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2145" w14:textId="1698EB9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2178" w14:textId="26F363D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16 389</w:t>
            </w:r>
          </w:p>
        </w:tc>
      </w:tr>
      <w:tr w:rsidR="00D50C65" w:rsidRPr="00D50C65" w14:paraId="1D187743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5F7A" w14:textId="1386EE7C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9D9" w14:textId="51881E1D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252" w14:textId="444F117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6A44" w14:textId="020FEB6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6833" w14:textId="3EAC9E4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60E5" w14:textId="024638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E80B" w14:textId="6E37F06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9FF9" w14:textId="53A6B27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F337" w14:textId="2AD9C82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B11" w14:textId="7370568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1F36" w14:textId="6D0ED8D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FA8A" w14:textId="0393A14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25" w14:textId="3DB5F95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</w:tr>
      <w:tr w:rsidR="00D50C65" w:rsidRPr="00D50C65" w14:paraId="1DCC58BE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65C4B9F5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Mzdové náklady</w:t>
            </w:r>
            <w:r w:rsidR="008B41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4114" w:rsidRPr="00D50C65">
              <w:rPr>
                <w:rFonts w:ascii="Calibri" w:hAnsi="Calibri" w:cs="Calibri"/>
                <w:sz w:val="18"/>
                <w:szCs w:val="18"/>
              </w:rPr>
              <w:t>–</w:t>
            </w:r>
            <w:r w:rsidRPr="00D50C65">
              <w:rPr>
                <w:rFonts w:ascii="Calibri" w:hAnsi="Calibri" w:cs="Calibri"/>
                <w:sz w:val="18"/>
                <w:szCs w:val="18"/>
              </w:rPr>
              <w:t xml:space="preserve">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E16C" w14:textId="4233DB72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8 355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8E3" w14:textId="3FE50F48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468F" w14:textId="285DC28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3BA" w14:textId="619DF00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001" w14:textId="7F4152F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5A25" w14:textId="3F2B12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E43" w14:textId="3DB89BA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93F" w14:textId="3D1A813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43FD" w14:textId="226C2BD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0DC" w14:textId="59BC787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9A7E" w14:textId="7DA2E3E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B40E" w14:textId="519FFAD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6696" w14:textId="60106FD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10 302</w:t>
            </w:r>
          </w:p>
        </w:tc>
      </w:tr>
      <w:tr w:rsidR="00D50C65" w:rsidRPr="00D50C65" w14:paraId="7EB392DE" w14:textId="77777777" w:rsidTr="00BF558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909C" w14:textId="1093E13E" w:rsidR="00D50C65" w:rsidRPr="00D50C65" w:rsidRDefault="00BF5584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F5584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54E" w14:textId="6DF81A0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9DD" w14:textId="2FFC3C5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0CAD" w14:textId="030F121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1712" w14:textId="08190F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FFA7" w14:textId="726612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9C15" w14:textId="1677CFC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B97C" w14:textId="3CDADA1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7414" w14:textId="1CD7EB5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1FA6" w14:textId="2E66C7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653" w14:textId="7D032B5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B1E1" w14:textId="0165D05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FBE1" w14:textId="466EECD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D50C65" w:rsidRPr="00D50C65" w14:paraId="762762BD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B3C6" w14:textId="48DF15AE" w:rsidR="00D50C65" w:rsidRPr="00D50C65" w:rsidRDefault="00BF5584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BF5584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F5584">
              <w:rPr>
                <w:rFonts w:ascii="Calibri" w:hAnsi="Calibri" w:cs="Calibri"/>
                <w:sz w:val="18"/>
                <w:szCs w:val="18"/>
              </w:rPr>
              <w:t>393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82CF" w14:textId="620B29B3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470" w14:textId="7AA2944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8118" w14:textId="7434ECD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387B" w14:textId="446E8A9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9A74" w14:textId="5EC26D8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30D4" w14:textId="46D3AC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02F0" w14:textId="32EE75E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ADCB" w14:textId="64549B5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2149" w14:textId="1FE10A1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AD83" w14:textId="339883C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B7" w14:textId="59CFD60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2D5" w14:textId="3F3D2DE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2 676</w:t>
            </w:r>
          </w:p>
        </w:tc>
      </w:tr>
      <w:tr w:rsidR="00D50C65" w:rsidRPr="00D50C65" w14:paraId="1FA13E5C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18C8" w14:textId="7288842A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67 912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7119" w14:textId="614BA9D7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2 371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87A6" w14:textId="3F8156A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D4A7" w14:textId="72F53B5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F357" w14:textId="5FC7CB1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474A" w14:textId="605FF35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74C" w14:textId="121B929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4A4A" w14:textId="631906A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BDE5" w14:textId="75D9E7A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8D5" w14:textId="29B5904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786" w14:textId="25E7F32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8D7" w14:textId="545EBB6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E627" w14:textId="4538486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76 031</w:t>
            </w:r>
          </w:p>
        </w:tc>
      </w:tr>
      <w:tr w:rsidR="00D50C65" w:rsidRPr="00D50C65" w14:paraId="39A89304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EDA" w14:textId="3F97CF49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16 287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272D" w14:textId="2EBF99F0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DC36" w14:textId="27825E42" w:rsidR="00DE2568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EEFD" w14:textId="10629D2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44FE" w14:textId="0EC67A4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7907" w14:textId="1342F62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B039" w14:textId="20275CE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5AC5" w14:textId="522180E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CCD" w14:textId="5ADB5A7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1805" w14:textId="59A47A2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F99" w14:textId="6EBC3D7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AAE0" w14:textId="7DA2DA8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0221" w14:textId="7E0E3D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18 230</w:t>
            </w:r>
          </w:p>
        </w:tc>
      </w:tr>
      <w:tr w:rsidR="00D50C65" w:rsidRPr="00D50C65" w14:paraId="160A1BC5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F115" w14:textId="4CBFBB07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5 913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9C6E" w14:textId="07815732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EDB9" w14:textId="4F66D54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9CF" w14:textId="1715A40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7522" w14:textId="6F4E08F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7644" w14:textId="61C566FA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CB2B" w14:textId="2E9A6EC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0DD" w14:textId="6A5BC8E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9BDE" w14:textId="5A1D596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8ED5" w14:textId="1E0919E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4C88" w14:textId="2DE80C7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DE5C" w14:textId="771C6D0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716C" w14:textId="06D7B071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6 627</w:t>
            </w:r>
          </w:p>
        </w:tc>
      </w:tr>
      <w:tr w:rsidR="00D50C65" w:rsidRPr="00D50C65" w14:paraId="087408ED" w14:textId="77777777" w:rsidTr="00BF558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050028FE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 w:rsidR="00B50581"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587C" w14:textId="3D1F745C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162" w14:textId="07FAC5D3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E941" w14:textId="3710F3B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357B" w14:textId="3442E33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ABD7" w14:textId="1FBA489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3033" w14:textId="6D0C6BD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C6E2" w14:textId="438BC18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1FA" w14:textId="5E365633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E4D" w14:textId="509408A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4F95" w14:textId="5E3277E5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D846" w14:textId="05CF710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EAC4" w14:textId="1890D38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C47" w14:textId="2526535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296</w:t>
            </w:r>
          </w:p>
        </w:tc>
      </w:tr>
      <w:tr w:rsidR="00D50C65" w:rsidRPr="00D50C65" w14:paraId="4C770052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973" w14:textId="0F192C31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22 483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E8D" w14:textId="3A83ED05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CEAC" w14:textId="20617A2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5FD8" w14:textId="4E4BAADB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C6A0" w14:textId="7F8EFF2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A3FE" w14:textId="53ED717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2623" w14:textId="358ED4F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E8B" w14:textId="6595C30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AC51" w14:textId="7F252F49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DC2" w14:textId="6052E94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D88B" w14:textId="6A883112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27C2" w14:textId="6DEA0AF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2075" w14:textId="19AA4C3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25 153</w:t>
            </w:r>
          </w:p>
        </w:tc>
      </w:tr>
      <w:tr w:rsidR="00D50C65" w:rsidRPr="00D50C65" w14:paraId="539E0C67" w14:textId="77777777" w:rsidTr="00BF558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0EC" w14:textId="57F743DF" w:rsidR="00D50C65" w:rsidRPr="00D50C65" w:rsidRDefault="00BF5584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90 395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91D9" w14:textId="7228A996" w:rsidR="00D50C65" w:rsidRPr="00D50C65" w:rsidRDefault="00DE2568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3 175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E993" w14:textId="4DBA2DBE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B200" w14:textId="483ADBD7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7EBF" w14:textId="2B2C7CCD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2993" w14:textId="74185366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B1E" w14:textId="087C4150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903" w14:textId="2707C94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3D22" w14:textId="4F8B9B2C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2169" w14:textId="24F34198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5 572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8DBD" w14:textId="1DBCDD3F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6845" w14:textId="7BA618F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0C62" w14:textId="7F47FAF4" w:rsidR="00D50C65" w:rsidRPr="00D50C65" w:rsidRDefault="00DE2568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101 184</w:t>
            </w:r>
          </w:p>
        </w:tc>
      </w:tr>
    </w:tbl>
    <w:p w14:paraId="73C7A558" w14:textId="14C6BE82" w:rsidR="00D50C65" w:rsidRDefault="00D50C65" w:rsidP="00DE2568">
      <w:pPr>
        <w:ind w:right="4"/>
        <w:rPr>
          <w:rFonts w:asciiTheme="minorHAnsi" w:hAnsiTheme="minorHAnsi" w:cstheme="minorHAnsi"/>
          <w:sz w:val="22"/>
        </w:rPr>
      </w:pPr>
    </w:p>
    <w:p w14:paraId="313870BF" w14:textId="2E91E884" w:rsidR="00D50C65" w:rsidRDefault="00B4475E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2E91D88F" wp14:editId="76E5E2DE">
            <wp:extent cx="5743575" cy="3781425"/>
            <wp:effectExtent l="0" t="0" r="9525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129E4FD2" w:rsidR="009B1253" w:rsidRPr="00FE4EB8" w:rsidRDefault="00B4475E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2023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91C4D">
        <w:rPr>
          <w:rFonts w:asciiTheme="minorHAnsi" w:hAnsiTheme="minorHAnsi" w:cstheme="minorHAnsi"/>
        </w:rPr>
        <w:t>3,34</w:t>
      </w:r>
      <w:r w:rsidR="009B1253" w:rsidRPr="009B1253">
        <w:rPr>
          <w:rFonts w:asciiTheme="minorHAnsi" w:hAnsiTheme="minorHAnsi" w:cstheme="minorHAnsi"/>
        </w:rPr>
        <w:t xml:space="preserve"> %.</w:t>
      </w:r>
      <w:r w:rsidR="00991C4D">
        <w:rPr>
          <w:rFonts w:asciiTheme="minorHAnsi" w:hAnsiTheme="minorHAnsi" w:cstheme="minorHAnsi"/>
        </w:rPr>
        <w:t xml:space="preserve"> V případě akademických pracovníků došlo k navýšení průměrného přepočteného počtu pracovníků o 4,512 oproti roku 2022. U ostatních zaměstnanců došlo ke snížení průměrného přepočteného počtu pracovníků o 0,5 oproti roku 2022.</w:t>
      </w:r>
      <w:r w:rsidR="009B1253" w:rsidRPr="009B1253">
        <w:rPr>
          <w:rFonts w:asciiTheme="minorHAnsi" w:hAnsiTheme="minorHAnsi" w:cstheme="minorHAnsi"/>
        </w:rPr>
        <w:t xml:space="preserve">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2023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F23ACF3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</w:t>
      </w:r>
      <w:r w:rsidR="00B4475E">
        <w:rPr>
          <w:rFonts w:asciiTheme="minorHAnsi" w:hAnsiTheme="minorHAnsi" w:cstheme="minorHAnsi"/>
        </w:rPr>
        <w:t>3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129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91C4D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91C4D" w:rsidRPr="00720789" w:rsidRDefault="00991C4D" w:rsidP="00991C4D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189F0B0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3,944</w:t>
            </w:r>
          </w:p>
        </w:tc>
      </w:tr>
      <w:tr w:rsidR="00991C4D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05FD4E19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12,957</w:t>
            </w:r>
          </w:p>
        </w:tc>
      </w:tr>
      <w:tr w:rsidR="00991C4D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0FB9365E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54,652</w:t>
            </w:r>
          </w:p>
        </w:tc>
      </w:tr>
      <w:tr w:rsidR="00991C4D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410F919B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7,824</w:t>
            </w:r>
          </w:p>
        </w:tc>
      </w:tr>
      <w:tr w:rsidR="00991C4D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91C4D" w:rsidRPr="00720789" w:rsidRDefault="00991C4D" w:rsidP="00991C4D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FA22FD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20,342</w:t>
            </w:r>
          </w:p>
        </w:tc>
      </w:tr>
      <w:tr w:rsidR="00991C4D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F8D5B12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99,701</w:t>
            </w:r>
          </w:p>
        </w:tc>
      </w:tr>
      <w:tr w:rsidR="00991C4D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CEB74A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91C4D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190F4F1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21,838</w:t>
            </w:r>
          </w:p>
        </w:tc>
      </w:tr>
      <w:tr w:rsidR="00991C4D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63E0187A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121,539</w:t>
            </w:r>
          </w:p>
        </w:tc>
      </w:tr>
      <w:bookmarkEnd w:id="129"/>
    </w:tbl>
    <w:p w14:paraId="4FC9B341" w14:textId="61C8C391" w:rsidR="00CC0281" w:rsidRDefault="00CC0281" w:rsidP="00CB14D3">
      <w:pPr>
        <w:rPr>
          <w:rFonts w:asciiTheme="minorHAnsi" w:hAnsiTheme="minorHAnsi" w:cstheme="minorHAnsi"/>
        </w:rPr>
      </w:pPr>
    </w:p>
    <w:p w14:paraId="6E038F41" w14:textId="199B9AF0" w:rsidR="00972317" w:rsidRDefault="00972317" w:rsidP="00CB14D3">
      <w:pPr>
        <w:rPr>
          <w:rFonts w:asciiTheme="minorHAnsi" w:hAnsiTheme="minorHAnsi" w:cstheme="minorHAnsi"/>
        </w:rPr>
      </w:pPr>
    </w:p>
    <w:p w14:paraId="0193B971" w14:textId="1B3DC5C5" w:rsidR="00972317" w:rsidRDefault="00972317" w:rsidP="00CB14D3">
      <w:pPr>
        <w:rPr>
          <w:rFonts w:asciiTheme="minorHAnsi" w:hAnsiTheme="minorHAnsi" w:cstheme="minorHAnsi"/>
        </w:rPr>
      </w:pPr>
    </w:p>
    <w:p w14:paraId="3B79B418" w14:textId="4F81CC6F" w:rsidR="00972317" w:rsidRDefault="00972317" w:rsidP="00CB14D3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18C8FEC" wp14:editId="46DEEC41">
            <wp:extent cx="5763260" cy="3824605"/>
            <wp:effectExtent l="0" t="0" r="8890" b="444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EE9697" w14:textId="5F746E00" w:rsidR="00C800AA" w:rsidRDefault="00C800AA" w:rsidP="00991C4D">
      <w:pPr>
        <w:ind w:left="0" w:firstLine="0"/>
        <w:rPr>
          <w:rFonts w:asciiTheme="minorHAnsi" w:hAnsiTheme="minorHAnsi" w:cstheme="minorHAnsi"/>
        </w:rPr>
      </w:pP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30" w:name="_Toc160433880"/>
      <w:r w:rsidRPr="002527C9">
        <w:rPr>
          <w:rFonts w:asciiTheme="minorHAnsi" w:hAnsiTheme="minorHAnsi" w:cstheme="minorHAnsi"/>
        </w:rPr>
        <w:t>Majetkové účty FHS</w:t>
      </w:r>
      <w:bookmarkEnd w:id="130"/>
      <w:r w:rsidRPr="002527C9">
        <w:rPr>
          <w:rFonts w:asciiTheme="minorHAnsi" w:hAnsiTheme="minorHAnsi" w:cstheme="minorHAnsi"/>
        </w:rPr>
        <w:t xml:space="preserve"> </w:t>
      </w:r>
    </w:p>
    <w:p w14:paraId="010557DA" w14:textId="778D3758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BD489C">
        <w:rPr>
          <w:rFonts w:asciiTheme="minorHAnsi" w:hAnsiTheme="minorHAnsi" w:cstheme="minorHAnsi"/>
        </w:rPr>
        <w:t xml:space="preserve"> v průběhu roku 2023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77777777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132358D5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3D71C3">
              <w:rPr>
                <w:rFonts w:asciiTheme="minorHAnsi" w:hAnsiTheme="minorHAnsi" w:cstheme="minorHAnsi"/>
                <w:color w:val="FFFFFF" w:themeColor="background1"/>
              </w:rPr>
              <w:t>2023</w:t>
            </w:r>
          </w:p>
        </w:tc>
      </w:tr>
      <w:tr w:rsidR="002A4C30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1635C664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A4C30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6D2D7E6B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151758FF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0055D02A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A4C30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12A4DD9A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11 286</w:t>
            </w:r>
          </w:p>
        </w:tc>
      </w:tr>
      <w:tr w:rsidR="002A4C30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02FEDF65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8 096</w:t>
            </w:r>
          </w:p>
        </w:tc>
      </w:tr>
      <w:tr w:rsidR="002A4C30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BD0D700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28B54FE7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35 010</w:t>
            </w:r>
          </w:p>
        </w:tc>
      </w:tr>
      <w:tr w:rsidR="002A4C30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4A02432C" w:rsidR="002A4C30" w:rsidRPr="00520446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4 645</w:t>
            </w:r>
          </w:p>
        </w:tc>
      </w:tr>
      <w:tr w:rsidR="002A4C30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1B39D60E" w:rsidR="002A4C30" w:rsidRDefault="002A4C30" w:rsidP="002A4C30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A4C30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lastRenderedPageBreak/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62310574" w:rsidR="002A4C30" w:rsidRPr="00520446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A4C30" w:rsidRPr="00FE4EB8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E1168C" w:rsidR="002A4C30" w:rsidRPr="00520446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A4C30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A4C30" w:rsidRPr="00196BB5" w:rsidRDefault="002A4C30" w:rsidP="002A4C3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3956C47D" w:rsidR="002A4C30" w:rsidRPr="00196BB5" w:rsidRDefault="002A4C30" w:rsidP="002A4C30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60 295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3176CFC6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 xml:space="preserve">1 </w:t>
      </w:r>
      <w:r w:rsidR="00BD489C">
        <w:rPr>
          <w:rFonts w:asciiTheme="minorHAnsi" w:hAnsiTheme="minorHAnsi" w:cstheme="minorHAnsi"/>
          <w:b/>
        </w:rPr>
        <w:t>241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1463804C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BD489C">
        <w:rPr>
          <w:rFonts w:asciiTheme="minorHAnsi" w:hAnsiTheme="minorHAnsi" w:cstheme="minorHAnsi"/>
        </w:rPr>
        <w:t>tis. Kč) – přírůstek v roce 2023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4E19191D" w:rsidR="0038634B" w:rsidRPr="002527C9" w:rsidRDefault="009E4DB3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ins w:id="131" w:author="Libor Marek" w:date="2024-04-03T17:32:00Z">
        <w:r>
          <w:rPr>
            <w:rFonts w:asciiTheme="minorHAnsi" w:hAnsiTheme="minorHAnsi" w:cstheme="minorHAnsi"/>
          </w:rPr>
          <w:t xml:space="preserve">  </w:t>
        </w:r>
      </w:ins>
      <w:r w:rsidR="0038634B"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BD489C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464627EF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804</w:t>
            </w:r>
          </w:p>
        </w:tc>
      </w:tr>
      <w:tr w:rsidR="00BD489C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44B65A87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</w:tr>
      <w:tr w:rsidR="00BD489C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170C11D2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</w:tr>
      <w:tr w:rsidR="00BD489C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3C4A1E96" w:rsidR="00BD489C" w:rsidRPr="00744F56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328</w:t>
            </w:r>
          </w:p>
        </w:tc>
      </w:tr>
      <w:tr w:rsidR="00BD489C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BD489C" w:rsidRPr="00744F56" w:rsidRDefault="00BD489C" w:rsidP="00BD489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24F289BC" w:rsidR="00BD489C" w:rsidRPr="00053683" w:rsidRDefault="00BD489C" w:rsidP="00BD489C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1 241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32" w:name="_Toc160433881"/>
      <w:r w:rsidRPr="002527C9">
        <w:rPr>
          <w:rFonts w:asciiTheme="minorHAnsi" w:hAnsiTheme="minorHAnsi" w:cstheme="minorHAnsi"/>
        </w:rPr>
        <w:t>Vývoj stavu majetku a výsledky inventarizace</w:t>
      </w:r>
      <w:bookmarkEnd w:id="132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3BC99B62" w14:textId="77777777" w:rsidR="00BD489C" w:rsidRPr="003A25C5" w:rsidRDefault="00BD489C" w:rsidP="00BD489C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>
        <w:rPr>
          <w:rFonts w:asciiTheme="minorHAnsi" w:hAnsiTheme="minorHAnsi" w:cstheme="minorHAnsi"/>
          <w:b/>
        </w:rPr>
        <w:t>0</w:t>
      </w:r>
      <w:r w:rsidRPr="003A25C5">
        <w:rPr>
          <w:rFonts w:asciiTheme="minorHAnsi" w:hAnsiTheme="minorHAnsi" w:cstheme="minorHAnsi"/>
          <w:b/>
        </w:rPr>
        <w:t>,- Kč</w:t>
      </w:r>
      <w:r w:rsidRPr="003A25C5">
        <w:rPr>
          <w:rFonts w:asciiTheme="minorHAnsi" w:hAnsiTheme="minorHAnsi" w:cstheme="minorHAnsi"/>
        </w:rPr>
        <w:t xml:space="preserve">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05AC137" w14:textId="77777777" w:rsidR="00BD489C" w:rsidRPr="00A51F69" w:rsidRDefault="00BD489C" w:rsidP="00BD489C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60 295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  <w:b/>
        </w:rPr>
        <w:t>42 654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33" w:name="_Toc160433882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133"/>
      <w:r w:rsidRPr="002527C9">
        <w:rPr>
          <w:rFonts w:asciiTheme="minorHAnsi" w:hAnsiTheme="minorHAnsi" w:cstheme="minorHAnsi"/>
        </w:rPr>
        <w:t xml:space="preserve"> </w:t>
      </w:r>
    </w:p>
    <w:p w14:paraId="0FB504AE" w14:textId="648340A0" w:rsidR="00CA425D" w:rsidRPr="002527C9" w:rsidRDefault="00BD489C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2023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>
        <w:rPr>
          <w:rFonts w:asciiTheme="minorHAnsi" w:hAnsiTheme="minorHAnsi" w:cstheme="minorHAnsi"/>
          <w:b/>
        </w:rPr>
        <w:t>6 809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75345AA3" w:rsidR="0066397F" w:rsidRPr="002527C9" w:rsidRDefault="0066397F">
      <w:pPr>
        <w:ind w:left="21"/>
        <w:jc w:val="left"/>
        <w:rPr>
          <w:rFonts w:asciiTheme="minorHAnsi" w:hAnsiTheme="minorHAnsi" w:cstheme="minorHAnsi"/>
        </w:rPr>
        <w:pPrChange w:id="134" w:author="Libor Marek" w:date="2024-04-03T17:34:00Z">
          <w:pPr>
            <w:ind w:left="21"/>
            <w:jc w:val="right"/>
          </w:pPr>
        </w:pPrChange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ins w:id="135" w:author="Libor Marek" w:date="2024-04-03T17:34:00Z">
        <w:r w:rsidR="009E4DB3">
          <w:rPr>
            <w:rFonts w:asciiTheme="minorHAnsi" w:hAnsiTheme="minorHAnsi" w:cstheme="minorHAnsi"/>
          </w:rPr>
          <w:t xml:space="preserve">                        </w:t>
        </w:r>
      </w:ins>
      <w:del w:id="136" w:author="Libor Marek" w:date="2024-04-03T17:34:00Z">
        <w:r w:rsidRPr="002527C9" w:rsidDel="009E4DB3">
          <w:rPr>
            <w:rFonts w:asciiTheme="minorHAnsi" w:hAnsiTheme="minorHAnsi" w:cstheme="minorHAnsi"/>
          </w:rPr>
          <w:tab/>
        </w:r>
        <w:r w:rsidRPr="002527C9" w:rsidDel="009E4DB3">
          <w:rPr>
            <w:rFonts w:asciiTheme="minorHAnsi" w:hAnsiTheme="minorHAnsi" w:cstheme="minorHAnsi"/>
          </w:rPr>
          <w:tab/>
        </w:r>
        <w:r w:rsidRPr="002527C9" w:rsidDel="009E4DB3">
          <w:rPr>
            <w:rFonts w:asciiTheme="minorHAnsi" w:hAnsiTheme="minorHAnsi" w:cstheme="minorHAnsi"/>
          </w:rPr>
          <w:tab/>
        </w:r>
        <w:r w:rsidR="00353058" w:rsidRPr="002527C9" w:rsidDel="009E4DB3">
          <w:rPr>
            <w:rFonts w:asciiTheme="minorHAnsi" w:hAnsiTheme="minorHAnsi" w:cstheme="minorHAnsi"/>
          </w:rPr>
          <w:delText xml:space="preserve"> </w:delText>
        </w:r>
      </w:del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BD489C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36EC0335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21D8494F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358</w:t>
            </w:r>
          </w:p>
        </w:tc>
      </w:tr>
      <w:tr w:rsidR="00BD489C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4F977E5D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4660023E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5D08D692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5B8113F5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443</w:t>
            </w:r>
          </w:p>
        </w:tc>
      </w:tr>
      <w:tr w:rsidR="00BD489C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2C9EF515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EF65E93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5EE2C34C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2 198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6634A43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2 236</w:t>
            </w:r>
          </w:p>
        </w:tc>
      </w:tr>
      <w:tr w:rsidR="00BD489C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638BFD58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</w:t>
            </w:r>
            <w:r w:rsidR="007E0C80" w:rsidRPr="0029030F">
              <w:rPr>
                <w:rFonts w:asciiTheme="minorHAnsi" w:hAnsiTheme="minorHAnsi" w:cstheme="minorHAnsi"/>
              </w:rPr>
              <w:t>–</w:t>
            </w:r>
            <w:r w:rsidRPr="0029030F">
              <w:rPr>
                <w:rFonts w:asciiTheme="minorHAnsi" w:hAnsiTheme="minorHAnsi" w:cstheme="minorHAnsi"/>
              </w:rPr>
              <w:t xml:space="preserve">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525A6749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5DB35A37" w:rsidR="00BD489C" w:rsidRPr="0027516F" w:rsidRDefault="007E0C80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0433E65B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13D90F62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BD489C" w:rsidRPr="0029030F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0EA7073D" w:rsidR="00BD489C" w:rsidRPr="0017104F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2 887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3A5C383E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3 037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1C4A87F1" w:rsidR="0066397F" w:rsidRPr="002527C9" w:rsidRDefault="0066397F">
      <w:pPr>
        <w:ind w:left="21"/>
        <w:jc w:val="left"/>
        <w:rPr>
          <w:rFonts w:asciiTheme="minorHAnsi" w:hAnsiTheme="minorHAnsi" w:cstheme="minorHAnsi"/>
        </w:rPr>
        <w:pPrChange w:id="137" w:author="Libor Marek" w:date="2024-04-03T17:34:00Z">
          <w:pPr>
            <w:ind w:left="21"/>
            <w:jc w:val="right"/>
          </w:pPr>
        </w:pPrChange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ins w:id="138" w:author="Libor Marek" w:date="2024-04-03T17:35:00Z">
        <w:r w:rsidR="009E4DB3">
          <w:rPr>
            <w:rFonts w:asciiTheme="minorHAnsi" w:hAnsiTheme="minorHAnsi" w:cstheme="minorHAnsi"/>
          </w:rPr>
          <w:t xml:space="preserve">                        </w:t>
        </w:r>
      </w:ins>
      <w:del w:id="139" w:author="Libor Marek" w:date="2024-04-03T17:35:00Z">
        <w:r w:rsidRPr="002527C9" w:rsidDel="009E4DB3">
          <w:rPr>
            <w:rFonts w:asciiTheme="minorHAnsi" w:hAnsiTheme="minorHAnsi" w:cstheme="minorHAnsi"/>
          </w:rPr>
          <w:tab/>
        </w:r>
        <w:r w:rsidRPr="002527C9" w:rsidDel="009E4DB3">
          <w:rPr>
            <w:rFonts w:asciiTheme="minorHAnsi" w:hAnsiTheme="minorHAnsi" w:cstheme="minorHAnsi"/>
          </w:rPr>
          <w:tab/>
        </w:r>
        <w:r w:rsidRPr="002527C9" w:rsidDel="009E4DB3">
          <w:rPr>
            <w:rFonts w:asciiTheme="minorHAnsi" w:hAnsiTheme="minorHAnsi" w:cstheme="minorHAnsi"/>
          </w:rPr>
          <w:tab/>
        </w:r>
        <w:r w:rsidR="00353058" w:rsidRPr="002527C9" w:rsidDel="009E4DB3">
          <w:rPr>
            <w:rFonts w:asciiTheme="minorHAnsi" w:hAnsiTheme="minorHAnsi" w:cstheme="minorHAnsi"/>
          </w:rPr>
          <w:delText xml:space="preserve"> </w:delText>
        </w:r>
      </w:del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BD489C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344F93DB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40A0CA07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1 738</w:t>
            </w:r>
          </w:p>
        </w:tc>
      </w:tr>
      <w:tr w:rsidR="00BD489C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2AF14F27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02F77E7A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</w:tr>
      <w:tr w:rsidR="00BD489C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1D8ABAD6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068F2615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1 909</w:t>
            </w:r>
          </w:p>
        </w:tc>
      </w:tr>
      <w:tr w:rsidR="00BD489C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B5E72C0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1 855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51973944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2 006</w:t>
            </w:r>
          </w:p>
        </w:tc>
      </w:tr>
      <w:tr w:rsidR="00BD489C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1C11AF0C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3 539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4109DA46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3 961</w:t>
            </w:r>
          </w:p>
        </w:tc>
      </w:tr>
      <w:tr w:rsidR="00BD489C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66B3E787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31BEDBAF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</w:tr>
      <w:tr w:rsidR="00BD489C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1C374165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0A5B3E62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D489C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BD489C" w:rsidRPr="00B64220" w:rsidRDefault="00BD489C" w:rsidP="00BD489C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43ABA69F" w:rsidR="00BD489C" w:rsidRPr="00B64220" w:rsidRDefault="00BD489C" w:rsidP="00BD489C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8 776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1D94FED6" w:rsidR="00BD489C" w:rsidRPr="0027516F" w:rsidRDefault="00BD489C" w:rsidP="00BD489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>9 846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140" w:name="_Toc160433883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140"/>
    </w:p>
    <w:p w14:paraId="647E479F" w14:textId="77777777" w:rsidR="00A52713" w:rsidRDefault="00A52713" w:rsidP="00BB6D13"/>
    <w:p w14:paraId="5B8E9B11" w14:textId="16E91017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BD489C">
        <w:rPr>
          <w:rFonts w:asciiTheme="minorHAnsi" w:hAnsiTheme="minorHAnsi" w:cstheme="minorHAnsi"/>
        </w:rPr>
        <w:t> 1. 1. 2023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BD489C">
        <w:rPr>
          <w:rFonts w:asciiTheme="minorHAnsi" w:hAnsiTheme="minorHAnsi" w:cstheme="minorHAnsi"/>
        </w:rPr>
        <w:t>. 2023</w:t>
      </w:r>
      <w:r w:rsidRPr="00B27A54">
        <w:rPr>
          <w:rFonts w:asciiTheme="minorHAnsi" w:hAnsiTheme="minorHAnsi" w:cstheme="minorHAnsi"/>
        </w:rPr>
        <w:t>.</w:t>
      </w:r>
    </w:p>
    <w:p w14:paraId="08DFC222" w14:textId="2C0C3DE2" w:rsidR="00A52713" w:rsidRDefault="00667315">
      <w:pPr>
        <w:ind w:left="4966" w:firstLine="698"/>
        <w:rPr>
          <w:rFonts w:asciiTheme="minorHAnsi" w:hAnsiTheme="minorHAnsi" w:cstheme="minorHAnsi"/>
        </w:rPr>
        <w:pPrChange w:id="141" w:author="Libor Marek" w:date="2024-04-03T17:35:00Z">
          <w:pPr/>
        </w:pPrChange>
      </w:pPr>
      <w:ins w:id="142" w:author="Libor Marek" w:date="2024-04-03T17:35:00Z">
        <w:r>
          <w:rPr>
            <w:rFonts w:asciiTheme="minorHAnsi" w:hAnsiTheme="minorHAnsi" w:cstheme="minorHAnsi"/>
          </w:rPr>
          <w:t xml:space="preserve">   </w:t>
        </w:r>
        <w:r w:rsidRPr="002527C9">
          <w:rPr>
            <w:rFonts w:asciiTheme="minorHAnsi" w:hAnsiTheme="minorHAnsi" w:cstheme="minorHAnsi"/>
          </w:rPr>
          <w:t>v tis. Kč</w:t>
        </w:r>
      </w:ins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FE4E52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4CA3F5C2" w:rsidR="00A52713" w:rsidRPr="00FE4E52" w:rsidRDefault="00FE4E52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Pr="00FE4E52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Pr="00FE4E52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E4E52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60C27FE9" w:rsidR="00A52713" w:rsidRPr="00FE4E52" w:rsidRDefault="00FE4E52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2023</w:t>
            </w:r>
            <w:r w:rsidR="00A52713" w:rsidRPr="00FE4E5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52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52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1D240796" w:rsidR="00A52713" w:rsidRPr="00FE4E52" w:rsidRDefault="00FE4E52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11E2475" w:rsidR="00A52713" w:rsidRPr="00FE4E52" w:rsidRDefault="00FE4E5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2 524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62544852" w:rsidR="00A52713" w:rsidRPr="00FE4E52" w:rsidRDefault="00FE4E5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845063C" w:rsidR="00A52713" w:rsidRPr="00FE4E52" w:rsidRDefault="00FE4E52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12 588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7BF9F9E6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B3236">
        <w:rPr>
          <w:rFonts w:asciiTheme="minorHAnsi" w:hAnsiTheme="minorHAnsi" w:cstheme="minorHAnsi"/>
        </w:rPr>
        <w:t xml:space="preserve"> 2023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</w:t>
      </w:r>
      <w:r w:rsidR="0012734B">
        <w:rPr>
          <w:rFonts w:asciiTheme="minorHAnsi" w:hAnsiTheme="minorHAnsi" w:cstheme="minorHAnsi"/>
        </w:rPr>
        <w:t xml:space="preserve"> modernizaci učebny pro tlumočnickou výuku, rolovací mříže do garáží budovy U18 a </w:t>
      </w:r>
      <w:r w:rsidR="00BF4223">
        <w:rPr>
          <w:rFonts w:asciiTheme="minorHAnsi" w:hAnsiTheme="minorHAnsi" w:cstheme="minorHAnsi"/>
        </w:rPr>
        <w:t xml:space="preserve">proběhly </w:t>
      </w:r>
      <w:r w:rsidR="0012734B">
        <w:rPr>
          <w:rFonts w:asciiTheme="minorHAnsi" w:hAnsiTheme="minorHAnsi" w:cstheme="minorHAnsi"/>
        </w:rPr>
        <w:t>přípravné inženýrské práce týkající se stavebních úprav objektu U14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143" w:name="_Toc160433884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143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58EC9BD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E70C69">
        <w:rPr>
          <w:rFonts w:asciiTheme="minorHAnsi" w:hAnsiTheme="minorHAnsi" w:cstheme="minorHAnsi"/>
        </w:rPr>
        <w:t>v účetním období 1 – 6/2024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E70C69">
        <w:rPr>
          <w:rFonts w:asciiTheme="minorHAnsi" w:hAnsiTheme="minorHAnsi" w:cstheme="minorHAnsi"/>
        </w:rPr>
        <w:t>23</w:t>
      </w:r>
      <w:r w:rsidRPr="00401772">
        <w:rPr>
          <w:rFonts w:asciiTheme="minorHAnsi" w:hAnsiTheme="minorHAnsi" w:cstheme="minorHAnsi"/>
        </w:rPr>
        <w:t>.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144" w:name="_Toc160433885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144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1068EBE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2A79FC60" w:rsidR="00A52713" w:rsidRDefault="002B3236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A52713" w:rsidRPr="0034612D">
        <w:rPr>
          <w:rFonts w:asciiTheme="minorHAnsi" w:hAnsiTheme="minorHAnsi" w:cstheme="minorHAnsi"/>
        </w:rPr>
        <w:t>RVO</w:t>
      </w:r>
      <w:r w:rsidR="00A52713" w:rsidRPr="0034612D">
        <w:rPr>
          <w:rFonts w:asciiTheme="minorHAnsi" w:hAnsiTheme="minorHAnsi" w:cstheme="minorHAnsi"/>
        </w:rPr>
        <w:tab/>
      </w:r>
      <w:r w:rsidR="00A52713" w:rsidRPr="00346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Dlouhodobý koncepční r</w:t>
      </w:r>
      <w:r w:rsidR="00A52713" w:rsidRPr="0034612D">
        <w:rPr>
          <w:rFonts w:asciiTheme="minorHAnsi" w:hAnsiTheme="minorHAnsi" w:cstheme="minorHAnsi"/>
        </w:rPr>
        <w:t>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87537C0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2B3236">
        <w:rPr>
          <w:rFonts w:asciiTheme="minorHAnsi" w:hAnsiTheme="minorHAnsi" w:cstheme="minorHAnsi"/>
        </w:rPr>
        <w:t>ro rok 2023</w:t>
      </w:r>
    </w:p>
    <w:p w14:paraId="6C69A91A" w14:textId="3CA160CF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 w:rsidR="002B3236">
        <w:rPr>
          <w:rFonts w:asciiTheme="minorHAnsi" w:hAnsiTheme="minorHAnsi" w:cstheme="minorHAnsi"/>
        </w:rPr>
        <w:t xml:space="preserve"> na rok 2023 vč. dodatku č. 1</w:t>
      </w:r>
    </w:p>
    <w:p w14:paraId="27D10D32" w14:textId="6A7E19FF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2B3236">
        <w:rPr>
          <w:rFonts w:asciiTheme="minorHAnsi" w:hAnsiTheme="minorHAnsi" w:cstheme="minorHAnsi"/>
        </w:rPr>
        <w:t>na rok 2023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33B0" w14:textId="77777777" w:rsidR="000360F0" w:rsidRDefault="000360F0">
      <w:pPr>
        <w:spacing w:after="0" w:line="240" w:lineRule="auto"/>
      </w:pPr>
      <w:r>
        <w:separator/>
      </w:r>
    </w:p>
  </w:endnote>
  <w:endnote w:type="continuationSeparator" w:id="0">
    <w:p w14:paraId="0D72DE47" w14:textId="77777777" w:rsidR="000360F0" w:rsidRDefault="0003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B0509F" w:rsidRDefault="00B0509F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29C46006" w:rsidR="00B0509F" w:rsidRPr="00220783" w:rsidRDefault="00B0509F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del w:id="145" w:author="Libor Marek" w:date="2024-04-03T01:48:00Z">
      <w:r w:rsidDel="00770933">
        <w:rPr>
          <w:rFonts w:eastAsia="Times New Roman" w:cstheme="minorHAnsi"/>
          <w:color w:val="000000"/>
          <w:sz w:val="20"/>
        </w:rPr>
        <w:delText>13</w:delText>
      </w:r>
    </w:del>
    <w:ins w:id="146" w:author="Libor Marek" w:date="2024-04-03T01:48:00Z">
      <w:r w:rsidR="00770933">
        <w:rPr>
          <w:rFonts w:eastAsia="Times New Roman" w:cstheme="minorHAnsi"/>
          <w:color w:val="000000"/>
          <w:sz w:val="20"/>
        </w:rPr>
        <w:t>10</w:t>
      </w:r>
    </w:ins>
    <w:r>
      <w:rPr>
        <w:rFonts w:eastAsia="Times New Roman" w:cstheme="minorHAnsi"/>
        <w:color w:val="000000"/>
        <w:sz w:val="20"/>
      </w:rPr>
      <w:t xml:space="preserve">. </w:t>
    </w:r>
    <w:del w:id="147" w:author="Libor Marek" w:date="2024-04-03T01:48:00Z">
      <w:r w:rsidDel="00770933">
        <w:rPr>
          <w:rFonts w:eastAsia="Times New Roman" w:cstheme="minorHAnsi"/>
          <w:color w:val="000000"/>
          <w:sz w:val="20"/>
        </w:rPr>
        <w:delText>3</w:delText>
      </w:r>
    </w:del>
    <w:ins w:id="148" w:author="Libor Marek" w:date="2024-04-03T01:48:00Z">
      <w:r w:rsidR="00770933">
        <w:rPr>
          <w:rFonts w:eastAsia="Times New Roman" w:cstheme="minorHAnsi"/>
          <w:color w:val="000000"/>
          <w:sz w:val="20"/>
        </w:rPr>
        <w:t>4</w:t>
      </w:r>
    </w:ins>
    <w:r>
      <w:rPr>
        <w:rFonts w:eastAsia="Times New Roman" w:cstheme="minorHAnsi"/>
        <w:color w:val="000000"/>
        <w:sz w:val="20"/>
      </w:rPr>
      <w:t>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B0509F" w:rsidRDefault="00B0509F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5B95" w14:textId="77777777" w:rsidR="000360F0" w:rsidRDefault="000360F0">
      <w:pPr>
        <w:spacing w:after="0" w:line="240" w:lineRule="auto"/>
      </w:pPr>
      <w:r>
        <w:separator/>
      </w:r>
    </w:p>
  </w:footnote>
  <w:footnote w:type="continuationSeparator" w:id="0">
    <w:p w14:paraId="6BBE01C2" w14:textId="77777777" w:rsidR="000360F0" w:rsidRDefault="0003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B0509F" w:rsidRDefault="00B0509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B0509F" w:rsidRDefault="00B0509F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B0509F" w:rsidRPr="00BF5449" w:rsidRDefault="00B0509F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056E4A54" w:rsidR="00B0509F" w:rsidRPr="00353058" w:rsidRDefault="00B0509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2023</w:t>
    </w:r>
  </w:p>
  <w:p w14:paraId="0C3D9B71" w14:textId="77777777" w:rsidR="00B0509F" w:rsidRDefault="00B0509F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B0509F" w:rsidRPr="00BF5449" w:rsidRDefault="00B0509F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B0509F" w:rsidRDefault="00B0509F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B0509F" w:rsidRDefault="00B0509F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679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57B6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2D1A"/>
    <w:rsid w:val="000360F0"/>
    <w:rsid w:val="00036C78"/>
    <w:rsid w:val="00037A2C"/>
    <w:rsid w:val="00041A61"/>
    <w:rsid w:val="00041ABF"/>
    <w:rsid w:val="00050984"/>
    <w:rsid w:val="00050C1A"/>
    <w:rsid w:val="00050E93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18A9"/>
    <w:rsid w:val="000A222C"/>
    <w:rsid w:val="000A485E"/>
    <w:rsid w:val="000A4C95"/>
    <w:rsid w:val="000A5063"/>
    <w:rsid w:val="000A6FE9"/>
    <w:rsid w:val="000B1E2B"/>
    <w:rsid w:val="000B29F4"/>
    <w:rsid w:val="000B32FD"/>
    <w:rsid w:val="000B3C03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52D8"/>
    <w:rsid w:val="00106AE6"/>
    <w:rsid w:val="00110093"/>
    <w:rsid w:val="00110658"/>
    <w:rsid w:val="00113504"/>
    <w:rsid w:val="001141B0"/>
    <w:rsid w:val="00116017"/>
    <w:rsid w:val="001207A0"/>
    <w:rsid w:val="0012374B"/>
    <w:rsid w:val="00124B0A"/>
    <w:rsid w:val="00125538"/>
    <w:rsid w:val="00125D77"/>
    <w:rsid w:val="00126EE0"/>
    <w:rsid w:val="00126F70"/>
    <w:rsid w:val="0012734B"/>
    <w:rsid w:val="00127BEE"/>
    <w:rsid w:val="00133F20"/>
    <w:rsid w:val="00137828"/>
    <w:rsid w:val="00137842"/>
    <w:rsid w:val="00142821"/>
    <w:rsid w:val="00142D38"/>
    <w:rsid w:val="00144689"/>
    <w:rsid w:val="001459E7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926FD"/>
    <w:rsid w:val="001A1B7D"/>
    <w:rsid w:val="001A27A3"/>
    <w:rsid w:val="001A50EA"/>
    <w:rsid w:val="001A6EF1"/>
    <w:rsid w:val="001B0DF6"/>
    <w:rsid w:val="001B4E2E"/>
    <w:rsid w:val="001C3A8F"/>
    <w:rsid w:val="001D0CC0"/>
    <w:rsid w:val="001D138A"/>
    <w:rsid w:val="001E1D4A"/>
    <w:rsid w:val="001E431D"/>
    <w:rsid w:val="001E4707"/>
    <w:rsid w:val="001E6481"/>
    <w:rsid w:val="001F5004"/>
    <w:rsid w:val="001F57F7"/>
    <w:rsid w:val="001F6949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2FA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1B7A"/>
    <w:rsid w:val="002527C9"/>
    <w:rsid w:val="00255CCB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CF"/>
    <w:rsid w:val="002956E7"/>
    <w:rsid w:val="00297663"/>
    <w:rsid w:val="002A2093"/>
    <w:rsid w:val="002A25F8"/>
    <w:rsid w:val="002A4C30"/>
    <w:rsid w:val="002A7083"/>
    <w:rsid w:val="002B0166"/>
    <w:rsid w:val="002B0BBB"/>
    <w:rsid w:val="002B11E3"/>
    <w:rsid w:val="002B159D"/>
    <w:rsid w:val="002B3236"/>
    <w:rsid w:val="002B39B6"/>
    <w:rsid w:val="002B6575"/>
    <w:rsid w:val="002C0659"/>
    <w:rsid w:val="002C0886"/>
    <w:rsid w:val="002C18AD"/>
    <w:rsid w:val="002C1CD8"/>
    <w:rsid w:val="002C27E5"/>
    <w:rsid w:val="002C35ED"/>
    <w:rsid w:val="002C3940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4F77"/>
    <w:rsid w:val="00304FE0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06F3"/>
    <w:rsid w:val="00352B34"/>
    <w:rsid w:val="00353058"/>
    <w:rsid w:val="003545EE"/>
    <w:rsid w:val="00356C32"/>
    <w:rsid w:val="00356E46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A3E34"/>
    <w:rsid w:val="003A580C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D71C3"/>
    <w:rsid w:val="003E03B3"/>
    <w:rsid w:val="003E0555"/>
    <w:rsid w:val="003E099F"/>
    <w:rsid w:val="003E190C"/>
    <w:rsid w:val="003E41B4"/>
    <w:rsid w:val="003E6DDB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1D01"/>
    <w:rsid w:val="0042339B"/>
    <w:rsid w:val="00425A42"/>
    <w:rsid w:val="00426306"/>
    <w:rsid w:val="00430103"/>
    <w:rsid w:val="004339BF"/>
    <w:rsid w:val="00433E56"/>
    <w:rsid w:val="004378C0"/>
    <w:rsid w:val="00444A8F"/>
    <w:rsid w:val="00447146"/>
    <w:rsid w:val="004472BF"/>
    <w:rsid w:val="004477A9"/>
    <w:rsid w:val="00450B7F"/>
    <w:rsid w:val="0045122A"/>
    <w:rsid w:val="00452A0E"/>
    <w:rsid w:val="0045556C"/>
    <w:rsid w:val="004620A5"/>
    <w:rsid w:val="00462507"/>
    <w:rsid w:val="004629AF"/>
    <w:rsid w:val="004639F2"/>
    <w:rsid w:val="00465739"/>
    <w:rsid w:val="00465FEB"/>
    <w:rsid w:val="00466095"/>
    <w:rsid w:val="00466DAB"/>
    <w:rsid w:val="004709AD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0DB"/>
    <w:rsid w:val="004C43A0"/>
    <w:rsid w:val="004C4B74"/>
    <w:rsid w:val="004C55CC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136A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2923"/>
    <w:rsid w:val="0058417E"/>
    <w:rsid w:val="00585658"/>
    <w:rsid w:val="005A3F9C"/>
    <w:rsid w:val="005A514C"/>
    <w:rsid w:val="005A757B"/>
    <w:rsid w:val="005A7FC8"/>
    <w:rsid w:val="005B046F"/>
    <w:rsid w:val="005B0592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0754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07B30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67315"/>
    <w:rsid w:val="00670B72"/>
    <w:rsid w:val="00672624"/>
    <w:rsid w:val="006740C0"/>
    <w:rsid w:val="00674403"/>
    <w:rsid w:val="0068302C"/>
    <w:rsid w:val="006862C3"/>
    <w:rsid w:val="0069675C"/>
    <w:rsid w:val="006970F8"/>
    <w:rsid w:val="006A04C3"/>
    <w:rsid w:val="006A4110"/>
    <w:rsid w:val="006B114D"/>
    <w:rsid w:val="006B5CAC"/>
    <w:rsid w:val="006B618E"/>
    <w:rsid w:val="006B6EBD"/>
    <w:rsid w:val="006C11AE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6F7817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1B44"/>
    <w:rsid w:val="00752FD7"/>
    <w:rsid w:val="00755955"/>
    <w:rsid w:val="00762B7F"/>
    <w:rsid w:val="00762CAA"/>
    <w:rsid w:val="00765F42"/>
    <w:rsid w:val="00770933"/>
    <w:rsid w:val="00770E64"/>
    <w:rsid w:val="007717A7"/>
    <w:rsid w:val="00776654"/>
    <w:rsid w:val="00776E67"/>
    <w:rsid w:val="00777244"/>
    <w:rsid w:val="00782553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B59AF"/>
    <w:rsid w:val="007C034B"/>
    <w:rsid w:val="007C0F9F"/>
    <w:rsid w:val="007C6C2A"/>
    <w:rsid w:val="007D3E0B"/>
    <w:rsid w:val="007D41BB"/>
    <w:rsid w:val="007D4537"/>
    <w:rsid w:val="007D6248"/>
    <w:rsid w:val="007D6298"/>
    <w:rsid w:val="007E0C80"/>
    <w:rsid w:val="007E1CFC"/>
    <w:rsid w:val="007E2514"/>
    <w:rsid w:val="007E2AAE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47C6"/>
    <w:rsid w:val="00827AC1"/>
    <w:rsid w:val="00827F8E"/>
    <w:rsid w:val="008327C4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4324"/>
    <w:rsid w:val="00855017"/>
    <w:rsid w:val="00855B04"/>
    <w:rsid w:val="008560D7"/>
    <w:rsid w:val="00857B38"/>
    <w:rsid w:val="008624B2"/>
    <w:rsid w:val="00865186"/>
    <w:rsid w:val="008654DA"/>
    <w:rsid w:val="00866513"/>
    <w:rsid w:val="00866B34"/>
    <w:rsid w:val="008676E0"/>
    <w:rsid w:val="0087035A"/>
    <w:rsid w:val="0087456F"/>
    <w:rsid w:val="00874776"/>
    <w:rsid w:val="00880242"/>
    <w:rsid w:val="008811E0"/>
    <w:rsid w:val="00882E65"/>
    <w:rsid w:val="0088471B"/>
    <w:rsid w:val="00890B4F"/>
    <w:rsid w:val="00893144"/>
    <w:rsid w:val="00895526"/>
    <w:rsid w:val="008A27DF"/>
    <w:rsid w:val="008A27FC"/>
    <w:rsid w:val="008A4507"/>
    <w:rsid w:val="008A65B4"/>
    <w:rsid w:val="008A6EDA"/>
    <w:rsid w:val="008B0C2F"/>
    <w:rsid w:val="008B4114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54EC"/>
    <w:rsid w:val="009366A7"/>
    <w:rsid w:val="0094287A"/>
    <w:rsid w:val="00942BB7"/>
    <w:rsid w:val="009440F2"/>
    <w:rsid w:val="00944485"/>
    <w:rsid w:val="009453B9"/>
    <w:rsid w:val="009513EB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317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C4D"/>
    <w:rsid w:val="00991F93"/>
    <w:rsid w:val="00997A11"/>
    <w:rsid w:val="009A14CE"/>
    <w:rsid w:val="009A1A4F"/>
    <w:rsid w:val="009A1DA2"/>
    <w:rsid w:val="009A4563"/>
    <w:rsid w:val="009A4650"/>
    <w:rsid w:val="009A5F5E"/>
    <w:rsid w:val="009A7F97"/>
    <w:rsid w:val="009B1253"/>
    <w:rsid w:val="009B26CB"/>
    <w:rsid w:val="009B67C4"/>
    <w:rsid w:val="009B6D71"/>
    <w:rsid w:val="009B7449"/>
    <w:rsid w:val="009B7C0A"/>
    <w:rsid w:val="009C1CCA"/>
    <w:rsid w:val="009C7A53"/>
    <w:rsid w:val="009D0573"/>
    <w:rsid w:val="009D1CF7"/>
    <w:rsid w:val="009D1D06"/>
    <w:rsid w:val="009D2586"/>
    <w:rsid w:val="009D74F7"/>
    <w:rsid w:val="009E155D"/>
    <w:rsid w:val="009E2699"/>
    <w:rsid w:val="009E319A"/>
    <w:rsid w:val="009E3830"/>
    <w:rsid w:val="009E4614"/>
    <w:rsid w:val="009E4DB3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1770B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66AD"/>
    <w:rsid w:val="00AB7D34"/>
    <w:rsid w:val="00AC19E2"/>
    <w:rsid w:val="00AC6DCA"/>
    <w:rsid w:val="00AD02CF"/>
    <w:rsid w:val="00AD17F5"/>
    <w:rsid w:val="00AD2341"/>
    <w:rsid w:val="00AD32C7"/>
    <w:rsid w:val="00AD5157"/>
    <w:rsid w:val="00AD5608"/>
    <w:rsid w:val="00AD5A68"/>
    <w:rsid w:val="00AD5C32"/>
    <w:rsid w:val="00AD5F02"/>
    <w:rsid w:val="00AE1F4A"/>
    <w:rsid w:val="00AE6EFD"/>
    <w:rsid w:val="00AF3C95"/>
    <w:rsid w:val="00AF438D"/>
    <w:rsid w:val="00AF4F4E"/>
    <w:rsid w:val="00AF71C1"/>
    <w:rsid w:val="00B0136E"/>
    <w:rsid w:val="00B02661"/>
    <w:rsid w:val="00B046D3"/>
    <w:rsid w:val="00B0509F"/>
    <w:rsid w:val="00B06A3C"/>
    <w:rsid w:val="00B07542"/>
    <w:rsid w:val="00B10F1E"/>
    <w:rsid w:val="00B2029F"/>
    <w:rsid w:val="00B27A54"/>
    <w:rsid w:val="00B3322B"/>
    <w:rsid w:val="00B3399E"/>
    <w:rsid w:val="00B34BBD"/>
    <w:rsid w:val="00B36301"/>
    <w:rsid w:val="00B36359"/>
    <w:rsid w:val="00B3637A"/>
    <w:rsid w:val="00B363A9"/>
    <w:rsid w:val="00B4475E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5BCA"/>
    <w:rsid w:val="00B77A3F"/>
    <w:rsid w:val="00B77C43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4BD8"/>
    <w:rsid w:val="00BB6D13"/>
    <w:rsid w:val="00BC479E"/>
    <w:rsid w:val="00BC5285"/>
    <w:rsid w:val="00BC625A"/>
    <w:rsid w:val="00BD2995"/>
    <w:rsid w:val="00BD3D2E"/>
    <w:rsid w:val="00BD489C"/>
    <w:rsid w:val="00BD607A"/>
    <w:rsid w:val="00BD74FF"/>
    <w:rsid w:val="00BE2166"/>
    <w:rsid w:val="00BE5A36"/>
    <w:rsid w:val="00BE650D"/>
    <w:rsid w:val="00BE6DA6"/>
    <w:rsid w:val="00BF3919"/>
    <w:rsid w:val="00BF4223"/>
    <w:rsid w:val="00BF5449"/>
    <w:rsid w:val="00BF5584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2AC"/>
    <w:rsid w:val="00C41DFC"/>
    <w:rsid w:val="00C42E1A"/>
    <w:rsid w:val="00C44978"/>
    <w:rsid w:val="00C45F47"/>
    <w:rsid w:val="00C46051"/>
    <w:rsid w:val="00C53B50"/>
    <w:rsid w:val="00C540D8"/>
    <w:rsid w:val="00C566C5"/>
    <w:rsid w:val="00C618A3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2D46"/>
    <w:rsid w:val="00D553C2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773D1"/>
    <w:rsid w:val="00D812F6"/>
    <w:rsid w:val="00D83809"/>
    <w:rsid w:val="00D84070"/>
    <w:rsid w:val="00D848C0"/>
    <w:rsid w:val="00D84FB1"/>
    <w:rsid w:val="00D87CF6"/>
    <w:rsid w:val="00D90683"/>
    <w:rsid w:val="00D92CDF"/>
    <w:rsid w:val="00D93944"/>
    <w:rsid w:val="00D94B6C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2568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0C69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0D3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605B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0730"/>
    <w:rsid w:val="00F4132A"/>
    <w:rsid w:val="00F41809"/>
    <w:rsid w:val="00F42D7C"/>
    <w:rsid w:val="00F43FFF"/>
    <w:rsid w:val="00F442B0"/>
    <w:rsid w:val="00F47A5A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9055B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52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4\Mzdy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4\Mzdy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2023 - bez rozlišení zdroje financování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FF-4E96-A5A7-89A8D0EE8B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FF-4E96-A5A7-89A8D0EE8B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FF-4E96-A5A7-89A8D0EE8B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FF-4E96-A5A7-89A8D0EE8B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FF-4E96-A5A7-89A8D0EE8B7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FF-4E96-A5A7-89A8D0EE8B7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FF-4E96-A5A7-89A8D0EE8B7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1FF-4E96-A5A7-89A8D0EE8B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List1!$S$8:$S$15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List1!$U$8:$U$15</c:f>
              <c:numCache>
                <c:formatCode>0.00%</c:formatCode>
                <c:ptCount val="8"/>
                <c:pt idx="0">
                  <c:v>0.42447629547960308</c:v>
                </c:pt>
                <c:pt idx="1">
                  <c:v>0.17385765037363715</c:v>
                </c:pt>
                <c:pt idx="2">
                  <c:v>4.2631385520029404E-3</c:v>
                </c:pt>
                <c:pt idx="3">
                  <c:v>0.2025480828126914</c:v>
                </c:pt>
                <c:pt idx="4">
                  <c:v>1.5312997672424355E-3</c:v>
                </c:pt>
                <c:pt idx="5">
                  <c:v>0.1484380742374127</c:v>
                </c:pt>
                <c:pt idx="6">
                  <c:v>8.6365306872473353E-3</c:v>
                </c:pt>
                <c:pt idx="7">
                  <c:v>3.6248928090162932E-2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1FF-4E96-A5A7-89A8D0EE8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2023 dle pracovního zařazení v %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88-4268-AD0D-1471D96834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8-4268-AD0D-1471D96834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8-4268-AD0D-1471D96834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188-4268-AD0D-1471D96834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188-4268-AD0D-1471D96834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188-4268-AD0D-1471D96834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List2!$J$8:$J$13</c:f>
              <c:strCache>
                <c:ptCount val="6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Ostatní zaměstnanci</c:v>
                </c:pt>
              </c:strCache>
            </c:strRef>
          </c:cat>
          <c:val>
            <c:numRef>
              <c:f>List2!$K$8:$K$13</c:f>
              <c:numCache>
                <c:formatCode>0.00%</c:formatCode>
                <c:ptCount val="6"/>
                <c:pt idx="0">
                  <c:v>3.2450489143402532E-2</c:v>
                </c:pt>
                <c:pt idx="1">
                  <c:v>0.10660775553526031</c:v>
                </c:pt>
                <c:pt idx="2">
                  <c:v>0.44966636223763573</c:v>
                </c:pt>
                <c:pt idx="3">
                  <c:v>6.4374398341273176E-2</c:v>
                </c:pt>
                <c:pt idx="4">
                  <c:v>0.16722204395296986</c:v>
                </c:pt>
                <c:pt idx="5">
                  <c:v>0.17967895078945856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88-4268-AD0D-1471D9683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52FC-6FF2-4A0A-81C8-DE4BC642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3913</Words>
  <Characters>23087</Characters>
  <Application>Microsoft Office Word</Application>
  <DocSecurity>0</DocSecurity>
  <Lines>192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Libor Marek</cp:lastModifiedBy>
  <cp:revision>23</cp:revision>
  <cp:lastPrinted>2020-03-16T11:29:00Z</cp:lastPrinted>
  <dcterms:created xsi:type="dcterms:W3CDTF">2024-03-04T07:37:00Z</dcterms:created>
  <dcterms:modified xsi:type="dcterms:W3CDTF">2024-04-03T15:48:00Z</dcterms:modified>
</cp:coreProperties>
</file>