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C46725" w:rsidP="00C46725">
      <w:pPr>
        <w:spacing w:after="0" w:line="259" w:lineRule="auto"/>
        <w:ind w:left="0" w:firstLine="0"/>
        <w:rPr>
          <w:rFonts w:asciiTheme="minorHAnsi" w:hAnsiTheme="minorHAnsi" w:cstheme="minorHAnsi"/>
        </w:rPr>
      </w:pPr>
      <w:r>
        <w:rPr>
          <w:rFonts w:asciiTheme="minorHAnsi" w:hAnsiTheme="minorHAnsi" w:cstheme="minorHAnsi"/>
          <w:b/>
        </w:rPr>
        <w:t>Materiál vychází z</w:t>
      </w:r>
      <w:r w:rsidR="000835E3">
        <w:rPr>
          <w:rFonts w:asciiTheme="minorHAnsi" w:hAnsiTheme="minorHAnsi" w:cstheme="minorHAnsi"/>
          <w:b/>
        </w:rPr>
        <w:t xml:space="preserve"> dokumentu </w:t>
      </w:r>
      <w:bookmarkStart w:id="0" w:name="_GoBack"/>
      <w:bookmarkEnd w:id="0"/>
      <w:r>
        <w:rPr>
          <w:rFonts w:asciiTheme="minorHAnsi" w:hAnsiTheme="minorHAnsi" w:cstheme="minorHAnsi"/>
          <w:b/>
        </w:rPr>
        <w:t>„Pravidla rozpočtu a rozdělení finančních prostředků Fakulty humanitních studií na rok 2024“ schválený Akademickým senátem Fakulty humanitních studií dne 19. 6. 2024.</w:t>
      </w:r>
    </w:p>
    <w:p w:rsidR="00465FEB" w:rsidRPr="00FE4EB8" w:rsidRDefault="00465FEB">
      <w:pPr>
        <w:spacing w:after="0" w:line="259" w:lineRule="auto"/>
        <w:ind w:left="0" w:firstLine="0"/>
        <w:jc w:val="left"/>
        <w:rPr>
          <w:rFonts w:asciiTheme="minorHAnsi" w:hAnsiTheme="minorHAnsi" w:cstheme="minorHAnsi"/>
        </w:rPr>
      </w:pP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F60097">
      <w:pPr>
        <w:spacing w:after="0" w:line="259" w:lineRule="auto"/>
        <w:ind w:left="0" w:firstLine="0"/>
        <w:jc w:val="left"/>
        <w:rPr>
          <w:rFonts w:asciiTheme="minorHAnsi" w:hAnsiTheme="minorHAnsi" w:cstheme="minorHAnsi"/>
          <w:b/>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lastRenderedPageBreak/>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11B57"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81189364" w:history="1">
            <w:r w:rsidR="00F11B57" w:rsidRPr="008265AD">
              <w:rPr>
                <w:rStyle w:val="Hypertextovodkaz"/>
                <w:noProof/>
              </w:rPr>
              <w:t>1</w:t>
            </w:r>
            <w:r w:rsidR="00F11B57">
              <w:rPr>
                <w:rFonts w:asciiTheme="minorHAnsi" w:eastAsiaTheme="minorEastAsia" w:hAnsiTheme="minorHAnsi" w:cstheme="minorBidi"/>
                <w:noProof/>
                <w:color w:val="auto"/>
                <w:sz w:val="22"/>
              </w:rPr>
              <w:tab/>
            </w:r>
            <w:r w:rsidR="00F11B57" w:rsidRPr="008265AD">
              <w:rPr>
                <w:rStyle w:val="Hypertextovodkaz"/>
                <w:noProof/>
              </w:rPr>
              <w:t>Souhrnný popis neinvestičních prostředků</w:t>
            </w:r>
            <w:r w:rsidR="00F11B57">
              <w:rPr>
                <w:noProof/>
                <w:webHidden/>
              </w:rPr>
              <w:tab/>
            </w:r>
            <w:r w:rsidR="00F11B57">
              <w:rPr>
                <w:noProof/>
                <w:webHidden/>
              </w:rPr>
              <w:fldChar w:fldCharType="begin"/>
            </w:r>
            <w:r w:rsidR="00F11B57">
              <w:rPr>
                <w:noProof/>
                <w:webHidden/>
              </w:rPr>
              <w:instrText xml:space="preserve"> PAGEREF _Toc181189364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65" w:history="1">
            <w:r w:rsidR="00F11B57" w:rsidRPr="008265AD">
              <w:rPr>
                <w:rStyle w:val="Hypertextovodkaz"/>
                <w:noProof/>
              </w:rPr>
              <w:t>2</w:t>
            </w:r>
            <w:r w:rsidR="00F11B57">
              <w:rPr>
                <w:rFonts w:asciiTheme="minorHAnsi" w:eastAsiaTheme="minorEastAsia" w:hAnsiTheme="minorHAnsi" w:cstheme="minorBidi"/>
                <w:noProof/>
                <w:color w:val="auto"/>
                <w:sz w:val="22"/>
              </w:rPr>
              <w:tab/>
            </w:r>
            <w:r w:rsidR="00F11B57" w:rsidRPr="008265AD">
              <w:rPr>
                <w:rStyle w:val="Hypertextovodkaz"/>
                <w:noProof/>
              </w:rPr>
              <w:t>Příspěvky a dotace pro FHS ze schváleného rozpočtu UTB</w:t>
            </w:r>
            <w:r w:rsidR="00F11B57">
              <w:rPr>
                <w:noProof/>
                <w:webHidden/>
              </w:rPr>
              <w:tab/>
            </w:r>
            <w:r w:rsidR="00F11B57">
              <w:rPr>
                <w:noProof/>
                <w:webHidden/>
              </w:rPr>
              <w:fldChar w:fldCharType="begin"/>
            </w:r>
            <w:r w:rsidR="00F11B57">
              <w:rPr>
                <w:noProof/>
                <w:webHidden/>
              </w:rPr>
              <w:instrText xml:space="preserve"> PAGEREF _Toc181189365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66" w:history="1">
            <w:r w:rsidR="00F11B57" w:rsidRPr="008265AD">
              <w:rPr>
                <w:rStyle w:val="Hypertextovodkaz"/>
                <w:noProof/>
              </w:rPr>
              <w:t>2.1</w:t>
            </w:r>
            <w:r w:rsidR="00F11B57">
              <w:rPr>
                <w:rFonts w:asciiTheme="minorHAnsi" w:eastAsiaTheme="minorEastAsia" w:hAnsiTheme="minorHAnsi" w:cstheme="minorBidi"/>
                <w:noProof/>
                <w:color w:val="auto"/>
                <w:sz w:val="22"/>
              </w:rPr>
              <w:tab/>
            </w:r>
            <w:r w:rsidR="00F11B57" w:rsidRPr="008265AD">
              <w:rPr>
                <w:rStyle w:val="Hypertextovodkaz"/>
                <w:noProof/>
              </w:rPr>
              <w:t>Rozpis základního příspěvku</w:t>
            </w:r>
            <w:r w:rsidR="00F11B57">
              <w:rPr>
                <w:noProof/>
                <w:webHidden/>
              </w:rPr>
              <w:tab/>
            </w:r>
            <w:r w:rsidR="00F11B57">
              <w:rPr>
                <w:noProof/>
                <w:webHidden/>
              </w:rPr>
              <w:fldChar w:fldCharType="begin"/>
            </w:r>
            <w:r w:rsidR="00F11B57">
              <w:rPr>
                <w:noProof/>
                <w:webHidden/>
              </w:rPr>
              <w:instrText xml:space="preserve"> PAGEREF _Toc181189366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0835E3">
          <w:pPr>
            <w:pStyle w:val="Obsah3"/>
            <w:tabs>
              <w:tab w:val="left" w:pos="1100"/>
              <w:tab w:val="right" w:leader="dot" w:pos="9066"/>
            </w:tabs>
            <w:rPr>
              <w:rFonts w:asciiTheme="minorHAnsi" w:eastAsiaTheme="minorEastAsia" w:hAnsiTheme="minorHAnsi" w:cstheme="minorBidi"/>
              <w:noProof/>
              <w:color w:val="auto"/>
              <w:sz w:val="22"/>
            </w:rPr>
          </w:pPr>
          <w:hyperlink w:anchor="_Toc181189367" w:history="1">
            <w:r w:rsidR="00F11B57" w:rsidRPr="008265AD">
              <w:rPr>
                <w:rStyle w:val="Hypertextovodkaz"/>
                <w:noProof/>
              </w:rPr>
              <w:t>2.1.1</w:t>
            </w:r>
            <w:r w:rsidR="00F11B57">
              <w:rPr>
                <w:rFonts w:asciiTheme="minorHAnsi" w:eastAsiaTheme="minorEastAsia" w:hAnsiTheme="minorHAnsi" w:cstheme="minorBidi"/>
                <w:noProof/>
                <w:color w:val="auto"/>
                <w:sz w:val="22"/>
              </w:rPr>
              <w:tab/>
            </w:r>
            <w:r w:rsidR="00F11B57" w:rsidRPr="008265AD">
              <w:rPr>
                <w:rStyle w:val="Hypertextovodkaz"/>
                <w:noProof/>
              </w:rPr>
              <w:t>Rozpis fixního příspěvku</w:t>
            </w:r>
            <w:r w:rsidR="00F11B57">
              <w:rPr>
                <w:noProof/>
                <w:webHidden/>
              </w:rPr>
              <w:tab/>
            </w:r>
            <w:r w:rsidR="00F11B57">
              <w:rPr>
                <w:noProof/>
                <w:webHidden/>
              </w:rPr>
              <w:fldChar w:fldCharType="begin"/>
            </w:r>
            <w:r w:rsidR="00F11B57">
              <w:rPr>
                <w:noProof/>
                <w:webHidden/>
              </w:rPr>
              <w:instrText xml:space="preserve"> PAGEREF _Toc181189367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0835E3">
          <w:pPr>
            <w:pStyle w:val="Obsah3"/>
            <w:tabs>
              <w:tab w:val="left" w:pos="1100"/>
              <w:tab w:val="right" w:leader="dot" w:pos="9066"/>
            </w:tabs>
            <w:rPr>
              <w:rFonts w:asciiTheme="minorHAnsi" w:eastAsiaTheme="minorEastAsia" w:hAnsiTheme="minorHAnsi" w:cstheme="minorBidi"/>
              <w:noProof/>
              <w:color w:val="auto"/>
              <w:sz w:val="22"/>
            </w:rPr>
          </w:pPr>
          <w:hyperlink w:anchor="_Toc181189368" w:history="1">
            <w:r w:rsidR="00F11B57" w:rsidRPr="008265AD">
              <w:rPr>
                <w:rStyle w:val="Hypertextovodkaz"/>
                <w:noProof/>
              </w:rPr>
              <w:t>2.1.2</w:t>
            </w:r>
            <w:r w:rsidR="00F11B57">
              <w:rPr>
                <w:rFonts w:asciiTheme="minorHAnsi" w:eastAsiaTheme="minorEastAsia" w:hAnsiTheme="minorHAnsi" w:cstheme="minorBidi"/>
                <w:noProof/>
                <w:color w:val="auto"/>
                <w:sz w:val="22"/>
              </w:rPr>
              <w:tab/>
            </w:r>
            <w:r w:rsidR="00F11B57" w:rsidRPr="008265AD">
              <w:rPr>
                <w:rStyle w:val="Hypertextovodkaz"/>
                <w:noProof/>
              </w:rPr>
              <w:t>Rozpis výkonového příspěvku</w:t>
            </w:r>
            <w:r w:rsidR="00F11B57">
              <w:rPr>
                <w:noProof/>
                <w:webHidden/>
              </w:rPr>
              <w:tab/>
            </w:r>
            <w:r w:rsidR="00F11B57">
              <w:rPr>
                <w:noProof/>
                <w:webHidden/>
              </w:rPr>
              <w:fldChar w:fldCharType="begin"/>
            </w:r>
            <w:r w:rsidR="00F11B57">
              <w:rPr>
                <w:noProof/>
                <w:webHidden/>
              </w:rPr>
              <w:instrText xml:space="preserve"> PAGEREF _Toc181189368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69" w:history="1">
            <w:r w:rsidR="00F11B57" w:rsidRPr="008265AD">
              <w:rPr>
                <w:rStyle w:val="Hypertextovodkaz"/>
                <w:noProof/>
              </w:rPr>
              <w:t>2.2</w:t>
            </w:r>
            <w:r w:rsidR="00F11B57">
              <w:rPr>
                <w:rFonts w:asciiTheme="minorHAnsi" w:eastAsiaTheme="minorEastAsia" w:hAnsiTheme="minorHAnsi" w:cstheme="minorBidi"/>
                <w:noProof/>
                <w:color w:val="auto"/>
                <w:sz w:val="22"/>
              </w:rPr>
              <w:tab/>
            </w:r>
            <w:r w:rsidR="00F11B57" w:rsidRPr="008265AD">
              <w:rPr>
                <w:rStyle w:val="Hypertextovodkaz"/>
                <w:noProof/>
              </w:rPr>
              <w:t>Celkový odvod FHS do rozpočtu UTB</w:t>
            </w:r>
            <w:r w:rsidR="00F11B57">
              <w:rPr>
                <w:noProof/>
                <w:webHidden/>
              </w:rPr>
              <w:tab/>
            </w:r>
            <w:r w:rsidR="00F11B57">
              <w:rPr>
                <w:noProof/>
                <w:webHidden/>
              </w:rPr>
              <w:fldChar w:fldCharType="begin"/>
            </w:r>
            <w:r w:rsidR="00F11B57">
              <w:rPr>
                <w:noProof/>
                <w:webHidden/>
              </w:rPr>
              <w:instrText xml:space="preserve"> PAGEREF _Toc181189369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0" w:history="1">
            <w:r w:rsidR="00F11B57" w:rsidRPr="008265AD">
              <w:rPr>
                <w:rStyle w:val="Hypertextovodkaz"/>
                <w:noProof/>
              </w:rPr>
              <w:t>2.3</w:t>
            </w:r>
            <w:r w:rsidR="00F11B57">
              <w:rPr>
                <w:rFonts w:asciiTheme="minorHAnsi" w:eastAsiaTheme="minorEastAsia" w:hAnsiTheme="minorHAnsi" w:cstheme="minorBidi"/>
                <w:noProof/>
                <w:color w:val="auto"/>
                <w:sz w:val="22"/>
              </w:rPr>
              <w:tab/>
            </w:r>
            <w:r w:rsidR="00F11B57" w:rsidRPr="008265AD">
              <w:rPr>
                <w:rStyle w:val="Hypertextovodkaz"/>
                <w:noProof/>
              </w:rPr>
              <w:t>Dotace na podporu výzkumu, experimentálního vývoje a inovací</w:t>
            </w:r>
            <w:r w:rsidR="00F11B57">
              <w:rPr>
                <w:noProof/>
                <w:webHidden/>
              </w:rPr>
              <w:tab/>
            </w:r>
            <w:r w:rsidR="00F11B57">
              <w:rPr>
                <w:noProof/>
                <w:webHidden/>
              </w:rPr>
              <w:fldChar w:fldCharType="begin"/>
            </w:r>
            <w:r w:rsidR="00F11B57">
              <w:rPr>
                <w:noProof/>
                <w:webHidden/>
              </w:rPr>
              <w:instrText xml:space="preserve"> PAGEREF _Toc181189370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0835E3">
          <w:pPr>
            <w:pStyle w:val="Obsah3"/>
            <w:tabs>
              <w:tab w:val="left" w:pos="1100"/>
              <w:tab w:val="right" w:leader="dot" w:pos="9066"/>
            </w:tabs>
            <w:rPr>
              <w:rFonts w:asciiTheme="minorHAnsi" w:eastAsiaTheme="minorEastAsia" w:hAnsiTheme="minorHAnsi" w:cstheme="minorBidi"/>
              <w:noProof/>
              <w:color w:val="auto"/>
              <w:sz w:val="22"/>
            </w:rPr>
          </w:pPr>
          <w:hyperlink w:anchor="_Toc181189371" w:history="1">
            <w:r w:rsidR="00F11B57" w:rsidRPr="008265AD">
              <w:rPr>
                <w:rStyle w:val="Hypertextovodkaz"/>
                <w:noProof/>
              </w:rPr>
              <w:t>2.3.1</w:t>
            </w:r>
            <w:r w:rsidR="00F11B57">
              <w:rPr>
                <w:rFonts w:asciiTheme="minorHAnsi" w:eastAsiaTheme="minorEastAsia" w:hAnsiTheme="minorHAnsi" w:cstheme="minorBidi"/>
                <w:noProof/>
                <w:color w:val="auto"/>
                <w:sz w:val="22"/>
              </w:rPr>
              <w:tab/>
            </w:r>
            <w:r w:rsidR="00F11B57" w:rsidRPr="008265AD">
              <w:rPr>
                <w:rStyle w:val="Hypertextovodkaz"/>
                <w:noProof/>
              </w:rPr>
              <w:t>Rozdělení účelové podpory na specifický vysokoškolský výzkum</w:t>
            </w:r>
            <w:r w:rsidR="00F11B57">
              <w:rPr>
                <w:noProof/>
                <w:webHidden/>
              </w:rPr>
              <w:tab/>
            </w:r>
            <w:r w:rsidR="00F11B57">
              <w:rPr>
                <w:noProof/>
                <w:webHidden/>
              </w:rPr>
              <w:fldChar w:fldCharType="begin"/>
            </w:r>
            <w:r w:rsidR="00F11B57">
              <w:rPr>
                <w:noProof/>
                <w:webHidden/>
              </w:rPr>
              <w:instrText xml:space="preserve"> PAGEREF _Toc181189371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0835E3">
          <w:pPr>
            <w:pStyle w:val="Obsah3"/>
            <w:tabs>
              <w:tab w:val="left" w:pos="1100"/>
              <w:tab w:val="right" w:leader="dot" w:pos="9066"/>
            </w:tabs>
            <w:rPr>
              <w:rFonts w:asciiTheme="minorHAnsi" w:eastAsiaTheme="minorEastAsia" w:hAnsiTheme="minorHAnsi" w:cstheme="minorBidi"/>
              <w:noProof/>
              <w:color w:val="auto"/>
              <w:sz w:val="22"/>
            </w:rPr>
          </w:pPr>
          <w:hyperlink w:anchor="_Toc181189372" w:history="1">
            <w:r w:rsidR="00F11B57" w:rsidRPr="008265AD">
              <w:rPr>
                <w:rStyle w:val="Hypertextovodkaz"/>
                <w:noProof/>
              </w:rPr>
              <w:t>2.3.2</w:t>
            </w:r>
            <w:r w:rsidR="00F11B57">
              <w:rPr>
                <w:rFonts w:asciiTheme="minorHAnsi" w:eastAsiaTheme="minorEastAsia" w:hAnsiTheme="minorHAnsi" w:cstheme="minorBidi"/>
                <w:noProof/>
                <w:color w:val="auto"/>
                <w:sz w:val="22"/>
              </w:rPr>
              <w:tab/>
            </w:r>
            <w:r w:rsidR="00F11B57" w:rsidRPr="008265AD">
              <w:rPr>
                <w:rStyle w:val="Hypertextovodkaz"/>
                <w:noProof/>
              </w:rPr>
              <w:t>Institucionální podpora na dlouhodobý koncepční rozvoj výzkumné organizace</w:t>
            </w:r>
            <w:r w:rsidR="00F11B57">
              <w:rPr>
                <w:noProof/>
                <w:webHidden/>
              </w:rPr>
              <w:tab/>
            </w:r>
            <w:r w:rsidR="00F11B57">
              <w:rPr>
                <w:noProof/>
                <w:webHidden/>
              </w:rPr>
              <w:fldChar w:fldCharType="begin"/>
            </w:r>
            <w:r w:rsidR="00F11B57">
              <w:rPr>
                <w:noProof/>
                <w:webHidden/>
              </w:rPr>
              <w:instrText xml:space="preserve"> PAGEREF _Toc181189372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3" w:history="1">
            <w:r w:rsidR="00F11B57" w:rsidRPr="008265AD">
              <w:rPr>
                <w:rStyle w:val="Hypertextovodkaz"/>
                <w:noProof/>
              </w:rPr>
              <w:t>2.4</w:t>
            </w:r>
            <w:r w:rsidR="00F11B57">
              <w:rPr>
                <w:rFonts w:asciiTheme="minorHAnsi" w:eastAsiaTheme="minorEastAsia" w:hAnsiTheme="minorHAnsi" w:cstheme="minorBidi"/>
                <w:noProof/>
                <w:color w:val="auto"/>
                <w:sz w:val="22"/>
              </w:rPr>
              <w:tab/>
            </w:r>
            <w:r w:rsidR="00F11B57" w:rsidRPr="008265AD">
              <w:rPr>
                <w:rStyle w:val="Hypertextovodkaz"/>
                <w:noProof/>
              </w:rPr>
              <w:t>Rozpis neinvestičních prostředků</w:t>
            </w:r>
            <w:r w:rsidR="00F11B57">
              <w:rPr>
                <w:noProof/>
                <w:webHidden/>
              </w:rPr>
              <w:tab/>
            </w:r>
            <w:r w:rsidR="00F11B57">
              <w:rPr>
                <w:noProof/>
                <w:webHidden/>
              </w:rPr>
              <w:fldChar w:fldCharType="begin"/>
            </w:r>
            <w:r w:rsidR="00F11B57">
              <w:rPr>
                <w:noProof/>
                <w:webHidden/>
              </w:rPr>
              <w:instrText xml:space="preserve"> PAGEREF _Toc181189373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74" w:history="1">
            <w:r w:rsidR="00F11B57" w:rsidRPr="008265AD">
              <w:rPr>
                <w:rStyle w:val="Hypertextovodkaz"/>
                <w:noProof/>
              </w:rPr>
              <w:t>3</w:t>
            </w:r>
            <w:r w:rsidR="00F11B57">
              <w:rPr>
                <w:rFonts w:asciiTheme="minorHAnsi" w:eastAsiaTheme="minorEastAsia" w:hAnsiTheme="minorHAnsi" w:cstheme="minorBidi"/>
                <w:noProof/>
                <w:color w:val="auto"/>
                <w:sz w:val="22"/>
              </w:rPr>
              <w:tab/>
            </w:r>
            <w:r w:rsidR="00F11B57" w:rsidRPr="008265AD">
              <w:rPr>
                <w:rStyle w:val="Hypertextovodkaz"/>
                <w:noProof/>
              </w:rPr>
              <w:t>Projektové příspěvky a dotace FHS</w:t>
            </w:r>
            <w:r w:rsidR="00F11B57">
              <w:rPr>
                <w:noProof/>
                <w:webHidden/>
              </w:rPr>
              <w:tab/>
            </w:r>
            <w:r w:rsidR="00F11B57">
              <w:rPr>
                <w:noProof/>
                <w:webHidden/>
              </w:rPr>
              <w:fldChar w:fldCharType="begin"/>
            </w:r>
            <w:r w:rsidR="00F11B57">
              <w:rPr>
                <w:noProof/>
                <w:webHidden/>
              </w:rPr>
              <w:instrText xml:space="preserve"> PAGEREF _Toc181189374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5" w:history="1">
            <w:r w:rsidR="00F11B57" w:rsidRPr="008265AD">
              <w:rPr>
                <w:rStyle w:val="Hypertextovodkaz"/>
                <w:noProof/>
              </w:rPr>
              <w:t>3.1</w:t>
            </w:r>
            <w:r w:rsidR="00F11B57">
              <w:rPr>
                <w:rFonts w:asciiTheme="minorHAnsi" w:eastAsiaTheme="minorEastAsia" w:hAnsiTheme="minorHAnsi" w:cstheme="minorBidi"/>
                <w:noProof/>
                <w:color w:val="auto"/>
                <w:sz w:val="22"/>
              </w:rPr>
              <w:tab/>
            </w:r>
            <w:r w:rsidR="00F11B57" w:rsidRPr="008265AD">
              <w:rPr>
                <w:rStyle w:val="Hypertextovodkaz"/>
                <w:noProof/>
              </w:rPr>
              <w:t>Dotace na projekt GA ČR</w:t>
            </w:r>
            <w:r w:rsidR="00F11B57">
              <w:rPr>
                <w:noProof/>
                <w:webHidden/>
              </w:rPr>
              <w:tab/>
            </w:r>
            <w:r w:rsidR="00F11B57">
              <w:rPr>
                <w:noProof/>
                <w:webHidden/>
              </w:rPr>
              <w:fldChar w:fldCharType="begin"/>
            </w:r>
            <w:r w:rsidR="00F11B57">
              <w:rPr>
                <w:noProof/>
                <w:webHidden/>
              </w:rPr>
              <w:instrText xml:space="preserve"> PAGEREF _Toc181189375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6" w:history="1">
            <w:r w:rsidR="00F11B57" w:rsidRPr="008265AD">
              <w:rPr>
                <w:rStyle w:val="Hypertextovodkaz"/>
                <w:noProof/>
              </w:rPr>
              <w:t>3.2</w:t>
            </w:r>
            <w:r w:rsidR="00F11B57">
              <w:rPr>
                <w:rFonts w:asciiTheme="minorHAnsi" w:eastAsiaTheme="minorEastAsia" w:hAnsiTheme="minorHAnsi" w:cstheme="minorBidi"/>
                <w:noProof/>
                <w:color w:val="auto"/>
                <w:sz w:val="22"/>
              </w:rPr>
              <w:tab/>
            </w:r>
            <w:r w:rsidR="00F11B57" w:rsidRPr="008265AD">
              <w:rPr>
                <w:rStyle w:val="Hypertextovodkaz"/>
                <w:noProof/>
              </w:rPr>
              <w:t>Národní plán obnovy</w:t>
            </w:r>
            <w:r w:rsidR="00F11B57">
              <w:rPr>
                <w:noProof/>
                <w:webHidden/>
              </w:rPr>
              <w:tab/>
            </w:r>
            <w:r w:rsidR="00F11B57">
              <w:rPr>
                <w:noProof/>
                <w:webHidden/>
              </w:rPr>
              <w:fldChar w:fldCharType="begin"/>
            </w:r>
            <w:r w:rsidR="00F11B57">
              <w:rPr>
                <w:noProof/>
                <w:webHidden/>
              </w:rPr>
              <w:instrText xml:space="preserve"> PAGEREF _Toc181189376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7" w:history="1">
            <w:r w:rsidR="00F11B57" w:rsidRPr="008265AD">
              <w:rPr>
                <w:rStyle w:val="Hypertextovodkaz"/>
                <w:noProof/>
              </w:rPr>
              <w:t>3.3</w:t>
            </w:r>
            <w:r w:rsidR="00F11B57">
              <w:rPr>
                <w:rFonts w:asciiTheme="minorHAnsi" w:eastAsiaTheme="minorEastAsia" w:hAnsiTheme="minorHAnsi" w:cstheme="minorBidi"/>
                <w:noProof/>
                <w:color w:val="auto"/>
                <w:sz w:val="22"/>
              </w:rPr>
              <w:tab/>
            </w:r>
            <w:r w:rsidR="00F11B57" w:rsidRPr="008265AD">
              <w:rPr>
                <w:rStyle w:val="Hypertextovodkaz"/>
                <w:noProof/>
              </w:rPr>
              <w:t>Norské fondy</w:t>
            </w:r>
            <w:r w:rsidR="00F11B57">
              <w:rPr>
                <w:noProof/>
                <w:webHidden/>
              </w:rPr>
              <w:tab/>
            </w:r>
            <w:r w:rsidR="00F11B57">
              <w:rPr>
                <w:noProof/>
                <w:webHidden/>
              </w:rPr>
              <w:fldChar w:fldCharType="begin"/>
            </w:r>
            <w:r w:rsidR="00F11B57">
              <w:rPr>
                <w:noProof/>
                <w:webHidden/>
              </w:rPr>
              <w:instrText xml:space="preserve"> PAGEREF _Toc181189377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8" w:history="1">
            <w:r w:rsidR="00F11B57" w:rsidRPr="008265AD">
              <w:rPr>
                <w:rStyle w:val="Hypertextovodkaz"/>
                <w:noProof/>
              </w:rPr>
              <w:t>3.4</w:t>
            </w:r>
            <w:r w:rsidR="00F11B57">
              <w:rPr>
                <w:rFonts w:asciiTheme="minorHAnsi" w:eastAsiaTheme="minorEastAsia" w:hAnsiTheme="minorHAnsi" w:cstheme="minorBidi"/>
                <w:noProof/>
                <w:color w:val="auto"/>
                <w:sz w:val="22"/>
              </w:rPr>
              <w:tab/>
            </w:r>
            <w:r w:rsidR="00F11B57" w:rsidRPr="008265AD">
              <w:rPr>
                <w:rStyle w:val="Hypertextovodkaz"/>
                <w:noProof/>
              </w:rPr>
              <w:t>Projekty smluvního výzkumu</w:t>
            </w:r>
            <w:r w:rsidR="00F11B57">
              <w:rPr>
                <w:noProof/>
                <w:webHidden/>
              </w:rPr>
              <w:tab/>
            </w:r>
            <w:r w:rsidR="00F11B57">
              <w:rPr>
                <w:noProof/>
                <w:webHidden/>
              </w:rPr>
              <w:fldChar w:fldCharType="begin"/>
            </w:r>
            <w:r w:rsidR="00F11B57">
              <w:rPr>
                <w:noProof/>
                <w:webHidden/>
              </w:rPr>
              <w:instrText xml:space="preserve"> PAGEREF _Toc181189378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79" w:history="1">
            <w:r w:rsidR="00F11B57" w:rsidRPr="008265AD">
              <w:rPr>
                <w:rStyle w:val="Hypertextovodkaz"/>
                <w:noProof/>
              </w:rPr>
              <w:t>3.5</w:t>
            </w:r>
            <w:r w:rsidR="00F11B57">
              <w:rPr>
                <w:rFonts w:asciiTheme="minorHAnsi" w:eastAsiaTheme="minorEastAsia" w:hAnsiTheme="minorHAnsi" w:cstheme="minorBidi"/>
                <w:noProof/>
                <w:color w:val="auto"/>
                <w:sz w:val="22"/>
              </w:rPr>
              <w:tab/>
            </w:r>
            <w:r w:rsidR="00F11B57" w:rsidRPr="008265AD">
              <w:rPr>
                <w:rStyle w:val="Hypertextovodkaz"/>
                <w:noProof/>
              </w:rPr>
              <w:t>Dotace na projekty OP JAK</w:t>
            </w:r>
            <w:r w:rsidR="00F11B57">
              <w:rPr>
                <w:noProof/>
                <w:webHidden/>
              </w:rPr>
              <w:tab/>
            </w:r>
            <w:r w:rsidR="00F11B57">
              <w:rPr>
                <w:noProof/>
                <w:webHidden/>
              </w:rPr>
              <w:fldChar w:fldCharType="begin"/>
            </w:r>
            <w:r w:rsidR="00F11B57">
              <w:rPr>
                <w:noProof/>
                <w:webHidden/>
              </w:rPr>
              <w:instrText xml:space="preserve"> PAGEREF _Toc181189379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0" w:history="1">
            <w:r w:rsidR="00F11B57" w:rsidRPr="008265AD">
              <w:rPr>
                <w:rStyle w:val="Hypertextovodkaz"/>
                <w:noProof/>
              </w:rPr>
              <w:t>3.6</w:t>
            </w:r>
            <w:r w:rsidR="00F11B57">
              <w:rPr>
                <w:rFonts w:asciiTheme="minorHAnsi" w:eastAsiaTheme="minorEastAsia" w:hAnsiTheme="minorHAnsi" w:cstheme="minorBidi"/>
                <w:noProof/>
                <w:color w:val="auto"/>
                <w:sz w:val="22"/>
              </w:rPr>
              <w:tab/>
            </w:r>
            <w:r w:rsidR="00F11B57" w:rsidRPr="008265AD">
              <w:rPr>
                <w:rStyle w:val="Hypertextovodkaz"/>
                <w:noProof/>
              </w:rPr>
              <w:t>Vnitřní soutěž na podporu mezinárodní spolupráce</w:t>
            </w:r>
            <w:r w:rsidR="00F11B57">
              <w:rPr>
                <w:noProof/>
                <w:webHidden/>
              </w:rPr>
              <w:tab/>
            </w:r>
            <w:r w:rsidR="00F11B57">
              <w:rPr>
                <w:noProof/>
                <w:webHidden/>
              </w:rPr>
              <w:fldChar w:fldCharType="begin"/>
            </w:r>
            <w:r w:rsidR="00F11B57">
              <w:rPr>
                <w:noProof/>
                <w:webHidden/>
              </w:rPr>
              <w:instrText xml:space="preserve"> PAGEREF _Toc181189380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81" w:history="1">
            <w:r w:rsidR="00F11B57" w:rsidRPr="008265AD">
              <w:rPr>
                <w:rStyle w:val="Hypertextovodkaz"/>
                <w:noProof/>
              </w:rPr>
              <w:t>4</w:t>
            </w:r>
            <w:r w:rsidR="00F11B57">
              <w:rPr>
                <w:rFonts w:asciiTheme="minorHAnsi" w:eastAsiaTheme="minorEastAsia" w:hAnsiTheme="minorHAnsi" w:cstheme="minorBidi"/>
                <w:noProof/>
                <w:color w:val="auto"/>
                <w:sz w:val="22"/>
              </w:rPr>
              <w:tab/>
            </w:r>
            <w:r w:rsidR="00F11B57" w:rsidRPr="008265AD">
              <w:rPr>
                <w:rStyle w:val="Hypertextovodkaz"/>
                <w:noProof/>
              </w:rPr>
              <w:t>Rozdělení disponibilních finančních prostředků ve zdroji 1100</w:t>
            </w:r>
            <w:r w:rsidR="00F11B57">
              <w:rPr>
                <w:noProof/>
                <w:webHidden/>
              </w:rPr>
              <w:tab/>
            </w:r>
            <w:r w:rsidR="00F11B57">
              <w:rPr>
                <w:noProof/>
                <w:webHidden/>
              </w:rPr>
              <w:fldChar w:fldCharType="begin"/>
            </w:r>
            <w:r w:rsidR="00F11B57">
              <w:rPr>
                <w:noProof/>
                <w:webHidden/>
              </w:rPr>
              <w:instrText xml:space="preserve"> PAGEREF _Toc181189381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2" w:history="1">
            <w:r w:rsidR="00F11B57" w:rsidRPr="008265AD">
              <w:rPr>
                <w:rStyle w:val="Hypertextovodkaz"/>
                <w:noProof/>
              </w:rPr>
              <w:t>4.1</w:t>
            </w:r>
            <w:r w:rsidR="00F11B57">
              <w:rPr>
                <w:rFonts w:asciiTheme="minorHAnsi" w:eastAsiaTheme="minorEastAsia" w:hAnsiTheme="minorHAnsi" w:cstheme="minorBidi"/>
                <w:noProof/>
                <w:color w:val="auto"/>
                <w:sz w:val="22"/>
              </w:rPr>
              <w:tab/>
            </w:r>
            <w:r w:rsidR="00F11B57" w:rsidRPr="008265AD">
              <w:rPr>
                <w:rStyle w:val="Hypertextovodkaz"/>
                <w:noProof/>
              </w:rPr>
              <w:t>Provozní náklady</w:t>
            </w:r>
            <w:r w:rsidR="00F11B57">
              <w:rPr>
                <w:noProof/>
                <w:webHidden/>
              </w:rPr>
              <w:tab/>
            </w:r>
            <w:r w:rsidR="00F11B57">
              <w:rPr>
                <w:noProof/>
                <w:webHidden/>
              </w:rPr>
              <w:fldChar w:fldCharType="begin"/>
            </w:r>
            <w:r w:rsidR="00F11B57">
              <w:rPr>
                <w:noProof/>
                <w:webHidden/>
              </w:rPr>
              <w:instrText xml:space="preserve"> PAGEREF _Toc181189382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3" w:history="1">
            <w:r w:rsidR="00F11B57" w:rsidRPr="008265AD">
              <w:rPr>
                <w:rStyle w:val="Hypertextovodkaz"/>
                <w:noProof/>
              </w:rPr>
              <w:t>4.2</w:t>
            </w:r>
            <w:r w:rsidR="00F11B57">
              <w:rPr>
                <w:rFonts w:asciiTheme="minorHAnsi" w:eastAsiaTheme="minorEastAsia" w:hAnsiTheme="minorHAnsi" w:cstheme="minorBidi"/>
                <w:noProof/>
                <w:color w:val="auto"/>
                <w:sz w:val="22"/>
              </w:rPr>
              <w:tab/>
            </w:r>
            <w:r w:rsidR="00F11B57" w:rsidRPr="008265AD">
              <w:rPr>
                <w:rStyle w:val="Hypertextovodkaz"/>
                <w:noProof/>
              </w:rPr>
              <w:t>Náklady na budovy v majetku UTB</w:t>
            </w:r>
            <w:r w:rsidR="00F11B57">
              <w:rPr>
                <w:noProof/>
                <w:webHidden/>
              </w:rPr>
              <w:tab/>
            </w:r>
            <w:r w:rsidR="00F11B57">
              <w:rPr>
                <w:noProof/>
                <w:webHidden/>
              </w:rPr>
              <w:fldChar w:fldCharType="begin"/>
            </w:r>
            <w:r w:rsidR="00F11B57">
              <w:rPr>
                <w:noProof/>
                <w:webHidden/>
              </w:rPr>
              <w:instrText xml:space="preserve"> PAGEREF _Toc181189383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4" w:history="1">
            <w:r w:rsidR="00F11B57" w:rsidRPr="008265AD">
              <w:rPr>
                <w:rStyle w:val="Hypertextovodkaz"/>
                <w:noProof/>
              </w:rPr>
              <w:t>4.3</w:t>
            </w:r>
            <w:r w:rsidR="00F11B57">
              <w:rPr>
                <w:rFonts w:asciiTheme="minorHAnsi" w:eastAsiaTheme="minorEastAsia" w:hAnsiTheme="minorHAnsi" w:cstheme="minorBidi"/>
                <w:noProof/>
                <w:color w:val="auto"/>
                <w:sz w:val="22"/>
              </w:rPr>
              <w:tab/>
            </w:r>
            <w:r w:rsidR="00F11B57" w:rsidRPr="008265AD">
              <w:rPr>
                <w:rStyle w:val="Hypertextovodkaz"/>
                <w:noProof/>
              </w:rPr>
              <w:t>Osobní náklady</w:t>
            </w:r>
            <w:r w:rsidR="00F11B57">
              <w:rPr>
                <w:noProof/>
                <w:webHidden/>
              </w:rPr>
              <w:tab/>
            </w:r>
            <w:r w:rsidR="00F11B57">
              <w:rPr>
                <w:noProof/>
                <w:webHidden/>
              </w:rPr>
              <w:fldChar w:fldCharType="begin"/>
            </w:r>
            <w:r w:rsidR="00F11B57">
              <w:rPr>
                <w:noProof/>
                <w:webHidden/>
              </w:rPr>
              <w:instrText xml:space="preserve"> PAGEREF _Toc181189384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5" w:history="1">
            <w:r w:rsidR="00F11B57" w:rsidRPr="008265AD">
              <w:rPr>
                <w:rStyle w:val="Hypertextovodkaz"/>
                <w:noProof/>
              </w:rPr>
              <w:t>4.4</w:t>
            </w:r>
            <w:r w:rsidR="00F11B57">
              <w:rPr>
                <w:rFonts w:asciiTheme="minorHAnsi" w:eastAsiaTheme="minorEastAsia" w:hAnsiTheme="minorHAnsi" w:cstheme="minorBidi"/>
                <w:noProof/>
                <w:color w:val="auto"/>
                <w:sz w:val="22"/>
              </w:rPr>
              <w:tab/>
            </w:r>
            <w:r w:rsidR="00F11B57" w:rsidRPr="008265AD">
              <w:rPr>
                <w:rStyle w:val="Hypertextovodkaz"/>
                <w:noProof/>
              </w:rPr>
              <w:t>Mezifakultní pedagogický výkon</w:t>
            </w:r>
            <w:r w:rsidR="00F11B57">
              <w:rPr>
                <w:noProof/>
                <w:webHidden/>
              </w:rPr>
              <w:tab/>
            </w:r>
            <w:r w:rsidR="00F11B57">
              <w:rPr>
                <w:noProof/>
                <w:webHidden/>
              </w:rPr>
              <w:fldChar w:fldCharType="begin"/>
            </w:r>
            <w:r w:rsidR="00F11B57">
              <w:rPr>
                <w:noProof/>
                <w:webHidden/>
              </w:rPr>
              <w:instrText xml:space="preserve"> PAGEREF _Toc181189385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86" w:history="1">
            <w:r w:rsidR="00F11B57" w:rsidRPr="008265AD">
              <w:rPr>
                <w:rStyle w:val="Hypertextovodkaz"/>
                <w:noProof/>
              </w:rPr>
              <w:t>5</w:t>
            </w:r>
            <w:r w:rsidR="00F11B57">
              <w:rPr>
                <w:rFonts w:asciiTheme="minorHAnsi" w:eastAsiaTheme="minorEastAsia" w:hAnsiTheme="minorHAnsi" w:cstheme="minorBidi"/>
                <w:noProof/>
                <w:color w:val="auto"/>
                <w:sz w:val="22"/>
              </w:rPr>
              <w:tab/>
            </w:r>
            <w:r w:rsidR="00F11B57" w:rsidRPr="008265AD">
              <w:rPr>
                <w:rStyle w:val="Hypertextovodkaz"/>
                <w:noProof/>
              </w:rPr>
              <w:t>Počáteční nastavení financí ve fondech</w:t>
            </w:r>
            <w:r w:rsidR="00F11B57">
              <w:rPr>
                <w:noProof/>
                <w:webHidden/>
              </w:rPr>
              <w:tab/>
            </w:r>
            <w:r w:rsidR="00F11B57">
              <w:rPr>
                <w:noProof/>
                <w:webHidden/>
              </w:rPr>
              <w:fldChar w:fldCharType="begin"/>
            </w:r>
            <w:r w:rsidR="00F11B57">
              <w:rPr>
                <w:noProof/>
                <w:webHidden/>
              </w:rPr>
              <w:instrText xml:space="preserve"> PAGEREF _Toc181189386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87" w:history="1">
            <w:r w:rsidR="00F11B57" w:rsidRPr="008265AD">
              <w:rPr>
                <w:rStyle w:val="Hypertextovodkaz"/>
                <w:noProof/>
              </w:rPr>
              <w:t>6</w:t>
            </w:r>
            <w:r w:rsidR="00F11B57">
              <w:rPr>
                <w:rFonts w:asciiTheme="minorHAnsi" w:eastAsiaTheme="minorEastAsia" w:hAnsiTheme="minorHAnsi" w:cstheme="minorBidi"/>
                <w:noProof/>
                <w:color w:val="auto"/>
                <w:sz w:val="22"/>
              </w:rPr>
              <w:tab/>
            </w:r>
            <w:r w:rsidR="00F11B57" w:rsidRPr="008265AD">
              <w:rPr>
                <w:rStyle w:val="Hypertextovodkaz"/>
                <w:noProof/>
              </w:rPr>
              <w:t>Investice v roce 2024</w:t>
            </w:r>
            <w:r w:rsidR="00F11B57">
              <w:rPr>
                <w:noProof/>
                <w:webHidden/>
              </w:rPr>
              <w:tab/>
            </w:r>
            <w:r w:rsidR="00F11B57">
              <w:rPr>
                <w:noProof/>
                <w:webHidden/>
              </w:rPr>
              <w:fldChar w:fldCharType="begin"/>
            </w:r>
            <w:r w:rsidR="00F11B57">
              <w:rPr>
                <w:noProof/>
                <w:webHidden/>
              </w:rPr>
              <w:instrText xml:space="preserve"> PAGEREF _Toc181189387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0835E3">
          <w:pPr>
            <w:pStyle w:val="Obsah2"/>
            <w:tabs>
              <w:tab w:val="left" w:pos="880"/>
              <w:tab w:val="right" w:leader="dot" w:pos="9066"/>
            </w:tabs>
            <w:rPr>
              <w:rFonts w:asciiTheme="minorHAnsi" w:eastAsiaTheme="minorEastAsia" w:hAnsiTheme="minorHAnsi" w:cstheme="minorBidi"/>
              <w:noProof/>
              <w:color w:val="auto"/>
              <w:sz w:val="22"/>
            </w:rPr>
          </w:pPr>
          <w:hyperlink w:anchor="_Toc181189388" w:history="1">
            <w:r w:rsidR="00F11B57" w:rsidRPr="008265AD">
              <w:rPr>
                <w:rStyle w:val="Hypertextovodkaz"/>
                <w:noProof/>
              </w:rPr>
              <w:t>6.1</w:t>
            </w:r>
            <w:r w:rsidR="00F11B57">
              <w:rPr>
                <w:rFonts w:asciiTheme="minorHAnsi" w:eastAsiaTheme="minorEastAsia" w:hAnsiTheme="minorHAnsi" w:cstheme="minorBidi"/>
                <w:noProof/>
                <w:color w:val="auto"/>
                <w:sz w:val="22"/>
              </w:rPr>
              <w:tab/>
            </w:r>
            <w:r w:rsidR="00F11B57" w:rsidRPr="008265AD">
              <w:rPr>
                <w:rStyle w:val="Hypertextovodkaz"/>
                <w:noProof/>
              </w:rPr>
              <w:t>Fond reprodukce investičního majetku (FRIM)</w:t>
            </w:r>
            <w:r w:rsidR="00F11B57">
              <w:rPr>
                <w:noProof/>
                <w:webHidden/>
              </w:rPr>
              <w:tab/>
            </w:r>
            <w:r w:rsidR="00F11B57">
              <w:rPr>
                <w:noProof/>
                <w:webHidden/>
              </w:rPr>
              <w:fldChar w:fldCharType="begin"/>
            </w:r>
            <w:r w:rsidR="00F11B57">
              <w:rPr>
                <w:noProof/>
                <w:webHidden/>
              </w:rPr>
              <w:instrText xml:space="preserve"> PAGEREF _Toc181189388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89" w:history="1">
            <w:r w:rsidR="00F11B57" w:rsidRPr="008265AD">
              <w:rPr>
                <w:rStyle w:val="Hypertextovodkaz"/>
                <w:noProof/>
              </w:rPr>
              <w:t>7</w:t>
            </w:r>
            <w:r w:rsidR="00F11B57">
              <w:rPr>
                <w:rFonts w:asciiTheme="minorHAnsi" w:eastAsiaTheme="minorEastAsia" w:hAnsiTheme="minorHAnsi" w:cstheme="minorBidi"/>
                <w:noProof/>
                <w:color w:val="auto"/>
                <w:sz w:val="22"/>
              </w:rPr>
              <w:tab/>
            </w:r>
            <w:r w:rsidR="00F11B57" w:rsidRPr="008265AD">
              <w:rPr>
                <w:rStyle w:val="Hypertextovodkaz"/>
                <w:noProof/>
              </w:rPr>
              <w:t>Rekapitulace</w:t>
            </w:r>
            <w:r w:rsidR="00F11B57">
              <w:rPr>
                <w:noProof/>
                <w:webHidden/>
              </w:rPr>
              <w:tab/>
            </w:r>
            <w:r w:rsidR="00F11B57">
              <w:rPr>
                <w:noProof/>
                <w:webHidden/>
              </w:rPr>
              <w:fldChar w:fldCharType="begin"/>
            </w:r>
            <w:r w:rsidR="00F11B57">
              <w:rPr>
                <w:noProof/>
                <w:webHidden/>
              </w:rPr>
              <w:instrText xml:space="preserve"> PAGEREF _Toc181189389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F11B57" w:rsidRDefault="000835E3">
          <w:pPr>
            <w:pStyle w:val="Obsah1"/>
            <w:tabs>
              <w:tab w:val="left" w:pos="426"/>
              <w:tab w:val="right" w:leader="dot" w:pos="9066"/>
            </w:tabs>
            <w:rPr>
              <w:rFonts w:asciiTheme="minorHAnsi" w:eastAsiaTheme="minorEastAsia" w:hAnsiTheme="minorHAnsi" w:cstheme="minorBidi"/>
              <w:noProof/>
              <w:color w:val="auto"/>
              <w:sz w:val="22"/>
            </w:rPr>
          </w:pPr>
          <w:hyperlink w:anchor="_Toc181189390" w:history="1">
            <w:r w:rsidR="00F11B57" w:rsidRPr="008265AD">
              <w:rPr>
                <w:rStyle w:val="Hypertextovodkaz"/>
                <w:noProof/>
              </w:rPr>
              <w:t>8</w:t>
            </w:r>
            <w:r w:rsidR="00F11B57">
              <w:rPr>
                <w:rFonts w:asciiTheme="minorHAnsi" w:eastAsiaTheme="minorEastAsia" w:hAnsiTheme="minorHAnsi" w:cstheme="minorBidi"/>
                <w:noProof/>
                <w:color w:val="auto"/>
                <w:sz w:val="22"/>
              </w:rPr>
              <w:tab/>
            </w:r>
            <w:r w:rsidR="00F11B57" w:rsidRPr="008265AD">
              <w:rPr>
                <w:rStyle w:val="Hypertextovodkaz"/>
                <w:noProof/>
              </w:rPr>
              <w:t>Seznam použitých zkratek</w:t>
            </w:r>
            <w:r w:rsidR="00F11B57">
              <w:rPr>
                <w:noProof/>
                <w:webHidden/>
              </w:rPr>
              <w:tab/>
            </w:r>
            <w:r w:rsidR="00F11B57">
              <w:rPr>
                <w:noProof/>
                <w:webHidden/>
              </w:rPr>
              <w:fldChar w:fldCharType="begin"/>
            </w:r>
            <w:r w:rsidR="00F11B57">
              <w:rPr>
                <w:noProof/>
                <w:webHidden/>
              </w:rPr>
              <w:instrText xml:space="preserve"> PAGEREF _Toc181189390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0835E3" w:rsidP="00B829D3"/>
      </w:sdtContent>
    </w:sdt>
    <w:p w:rsidR="00F56A6D" w:rsidRPr="00F56A6D" w:rsidRDefault="00F56A6D" w:rsidP="00F56A6D"/>
    <w:p w:rsidR="005346F7" w:rsidRPr="005346F7" w:rsidRDefault="005346F7" w:rsidP="00B829D3">
      <w:pPr>
        <w:pStyle w:val="Nadpis1"/>
      </w:pPr>
      <w:bookmarkStart w:id="1" w:name="_Toc181189364"/>
      <w:r>
        <w:lastRenderedPageBreak/>
        <w:t>Souhrnný popis neinvestičních prostředků</w:t>
      </w:r>
      <w:bookmarkEnd w:id="1"/>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2" w:name="_Toc181189365"/>
      <w:r w:rsidRPr="00C54FFF">
        <w:t>Příspěvky a dotace</w:t>
      </w:r>
      <w:r w:rsidR="00BA3599" w:rsidRPr="00C54FFF">
        <w:t xml:space="preserve"> pro FHS ze schváleného rozpočtu</w:t>
      </w:r>
      <w:r w:rsidR="00DC3B03" w:rsidRPr="00C54FFF">
        <w:t xml:space="preserve"> UTB</w:t>
      </w:r>
      <w:bookmarkEnd w:id="2"/>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3" w:name="_Toc181189366"/>
      <w:r>
        <w:t>Rozpis základního příspěvku</w:t>
      </w:r>
      <w:bookmarkEnd w:id="3"/>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4" w:name="_Toc181189367"/>
      <w:r>
        <w:t>Rozpis fixního příspěvku</w:t>
      </w:r>
      <w:bookmarkEnd w:id="4"/>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5" w:name="_Toc181189368"/>
      <w:r>
        <w:t>Rozpis výkonového příspěvku</w:t>
      </w:r>
      <w:bookmarkEnd w:id="5"/>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6" w:name="_Toc181189369"/>
      <w:r>
        <w:t>Celkový odvod FHS do rozpočtu UTB</w:t>
      </w:r>
      <w:bookmarkEnd w:id="6"/>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7" w:name="_Toc181189370"/>
      <w:r>
        <w:lastRenderedPageBreak/>
        <w:t>Dotace na podporu výzkumu, experimentálního vývoje a inovací</w:t>
      </w:r>
      <w:bookmarkEnd w:id="7"/>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8" w:name="_Toc181189371"/>
      <w:r w:rsidRPr="00EE1543">
        <w:t>Rozdělení účelové podpory na specifický vysokoškolský výzkum</w:t>
      </w:r>
      <w:bookmarkEnd w:id="8"/>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9" w:name="_Toc181189372"/>
      <w:r w:rsidRPr="00473D42">
        <w:t>Institucionální podpora na dlouhodobý koncepční rozvoj výzkumné organizace</w:t>
      </w:r>
      <w:bookmarkEnd w:id="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10 </w:t>
            </w:r>
            <w:r w:rsidR="00C46725">
              <w:rPr>
                <w:rFonts w:asciiTheme="minorHAnsi" w:hAnsiTheme="minorHAnsi" w:cstheme="minorHAnsi"/>
                <w:sz w:val="22"/>
              </w:rPr>
              <w:t>620</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4 </w:t>
            </w:r>
            <w:r w:rsidR="00C46725">
              <w:rPr>
                <w:rFonts w:asciiTheme="minorHAnsi" w:hAnsiTheme="minorHAnsi" w:cstheme="minorHAnsi"/>
                <w:sz w:val="22"/>
              </w:rPr>
              <w:t>248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0" w:name="_Toc181189373"/>
      <w:r>
        <w:t>Rozpis neinvestičních prostředků</w:t>
      </w:r>
      <w:bookmarkEnd w:id="10"/>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C46725"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DKRVO</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C46725">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10 </w:t>
            </w:r>
            <w:r w:rsidR="00C46725">
              <w:rPr>
                <w:rFonts w:asciiTheme="minorHAnsi" w:hAnsiTheme="minorHAnsi" w:cstheme="minorHAnsi"/>
                <w:sz w:val="22"/>
              </w:rPr>
              <w:t>620</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C46725">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 xml:space="preserve">104 </w:t>
            </w:r>
            <w:r w:rsidR="00C46725">
              <w:rPr>
                <w:rFonts w:asciiTheme="minorHAnsi" w:hAnsiTheme="minorHAnsi" w:cstheme="minorHAnsi"/>
                <w:b/>
                <w:sz w:val="22"/>
              </w:rPr>
              <w:t>760</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11" w:name="_Toc181189374"/>
      <w:r w:rsidRPr="00C54FFF">
        <w:lastRenderedPageBreak/>
        <w:t>Projektové</w:t>
      </w:r>
      <w:r w:rsidR="00684C35" w:rsidRPr="00C54FFF">
        <w:t xml:space="preserve"> příspěvky a</w:t>
      </w:r>
      <w:r w:rsidRPr="00C54FFF">
        <w:t xml:space="preserve"> dotace FHS</w:t>
      </w:r>
      <w:bookmarkEnd w:id="11"/>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2" w:name="_Toc181189375"/>
      <w:r>
        <w:t>Dotace na projekt G</w:t>
      </w:r>
      <w:r w:rsidR="006E621B">
        <w:t>A</w:t>
      </w:r>
      <w:r w:rsidR="00FA27E5">
        <w:t xml:space="preserve"> </w:t>
      </w:r>
      <w:r w:rsidR="006E621B">
        <w:t>ČR</w:t>
      </w:r>
      <w:bookmarkEnd w:id="12"/>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3" w:name="_Toc181189376"/>
      <w:r>
        <w:t>Národní p</w:t>
      </w:r>
      <w:r w:rsidR="00100A0D">
        <w:t>lán</w:t>
      </w:r>
      <w:r>
        <w:t xml:space="preserve"> obnovy</w:t>
      </w:r>
      <w:bookmarkEnd w:id="13"/>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14" w:name="_Toc181189377"/>
      <w:r>
        <w:lastRenderedPageBreak/>
        <w:t>Norské fondy</w:t>
      </w:r>
      <w:bookmarkEnd w:id="14"/>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Mgr. Tomáš Karger,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15" w:name="_Toc181189378"/>
      <w:r>
        <w:t>Projekty smluvního výzkumu</w:t>
      </w:r>
      <w:bookmarkEnd w:id="15"/>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16" w:name="_Toc181189379"/>
      <w:r>
        <w:t>Dotace na projekty OP JAK</w:t>
      </w:r>
      <w:bookmarkEnd w:id="16"/>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17" w:name="_Toc181189380"/>
      <w:r>
        <w:t>Vnitřní soutěž na podporu mezinárodní spolupráce</w:t>
      </w:r>
      <w:bookmarkEnd w:id="17"/>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rFonts w:asciiTheme="minorHAnsi" w:hAnsiTheme="minorHAnsi" w:cstheme="minorHAnsi"/>
        </w:rPr>
      </w:pPr>
    </w:p>
    <w:p w:rsidR="0053459B" w:rsidRDefault="0053459B" w:rsidP="00B829D3">
      <w:pPr>
        <w:ind w:left="0" w:firstLine="0"/>
        <w:rPr>
          <w:rFonts w:asciiTheme="minorHAnsi" w:hAnsiTheme="minorHAnsi" w:cstheme="minorHAnsi"/>
        </w:rPr>
      </w:pPr>
    </w:p>
    <w:p w:rsidR="00B158B3" w:rsidRPr="00C54FFF" w:rsidRDefault="00B158B3" w:rsidP="00B158B3">
      <w:pPr>
        <w:pStyle w:val="Nadpis1"/>
      </w:pPr>
      <w:bookmarkStart w:id="18" w:name="_Toc181189381"/>
      <w:r w:rsidRPr="00C54FFF">
        <w:t>Rozdělení disponibilních finančních prostředků</w:t>
      </w:r>
      <w:r w:rsidR="00DA095E" w:rsidRPr="00C54FFF">
        <w:t xml:space="preserve"> ve zdroji 1100</w:t>
      </w:r>
      <w:bookmarkEnd w:id="18"/>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9" w:name="_Toc181189382"/>
      <w:r>
        <w:t>Provozní náklady</w:t>
      </w:r>
      <w:bookmarkEnd w:id="1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0" w:name="_Toc181189383"/>
      <w:r>
        <w:t>Náklady na budovy v majetku UTB</w:t>
      </w:r>
      <w:bookmarkEnd w:id="2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1" w:name="_Toc181189384"/>
      <w:r>
        <w:lastRenderedPageBreak/>
        <w:t>Osobní náklady</w:t>
      </w:r>
      <w:bookmarkEnd w:id="2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2" w:name="_Toc181189385"/>
      <w:r w:rsidRPr="00187D2F">
        <w:t>Mezifakultní pedagogick</w:t>
      </w:r>
      <w:r w:rsidR="00661B7A" w:rsidRPr="00187D2F">
        <w:t>ý výkon</w:t>
      </w:r>
      <w:bookmarkEnd w:id="2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3" w:name="_Toc181189386"/>
      <w:r>
        <w:t>Počáteční nastavení financí ve fondech</w:t>
      </w:r>
      <w:bookmarkEnd w:id="2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4" w:name="_Toc181189387"/>
      <w:r>
        <w:t>Investice v roce 20</w:t>
      </w:r>
      <w:r w:rsidR="009E257C">
        <w:t>2</w:t>
      </w:r>
      <w:r w:rsidR="00BB640A">
        <w:t>4</w:t>
      </w:r>
      <w:bookmarkEnd w:id="2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5" w:name="_Toc181189388"/>
      <w:r>
        <w:t>Fond reprodukce investičního majetku (FRIM)</w:t>
      </w:r>
      <w:bookmarkEnd w:id="2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6" w:name="_Toc181189389"/>
      <w:r>
        <w:lastRenderedPageBreak/>
        <w:t>Rekapitulace</w:t>
      </w:r>
      <w:bookmarkEnd w:id="2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7" w:name="_Toc181189390"/>
      <w:r>
        <w:t>Seznam použitých zkratek</w:t>
      </w:r>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0840" w:type="dxa"/>
        <w:tblInd w:w="-856" w:type="dxa"/>
        <w:tblCellMar>
          <w:left w:w="70" w:type="dxa"/>
          <w:right w:w="70" w:type="dxa"/>
        </w:tblCellMar>
        <w:tblLook w:val="04A0" w:firstRow="1" w:lastRow="0" w:firstColumn="1" w:lastColumn="0" w:noHBand="0" w:noVBand="1"/>
      </w:tblPr>
      <w:tblGrid>
        <w:gridCol w:w="2694"/>
        <w:gridCol w:w="709"/>
        <w:gridCol w:w="567"/>
        <w:gridCol w:w="567"/>
        <w:gridCol w:w="567"/>
        <w:gridCol w:w="567"/>
        <w:gridCol w:w="567"/>
        <w:gridCol w:w="567"/>
        <w:gridCol w:w="567"/>
        <w:gridCol w:w="567"/>
        <w:gridCol w:w="567"/>
        <w:gridCol w:w="567"/>
        <w:gridCol w:w="567"/>
        <w:gridCol w:w="567"/>
        <w:gridCol w:w="633"/>
      </w:tblGrid>
      <w:tr w:rsidR="00BD1005" w:rsidRPr="00BD1005" w:rsidTr="00C54FFF">
        <w:trPr>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146" w:type="dxa"/>
            <w:gridSpan w:val="14"/>
            <w:tcBorders>
              <w:top w:val="single" w:sz="4" w:space="0" w:color="auto"/>
              <w:left w:val="nil"/>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C54FFF">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1005" w:rsidRPr="00BD1005" w:rsidRDefault="00BD1005" w:rsidP="00BD1005">
            <w:pPr>
              <w:spacing w:after="0" w:line="240" w:lineRule="auto"/>
              <w:ind w:left="0" w:firstLine="0"/>
              <w:jc w:val="left"/>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xml:space="preserve">. na </w:t>
            </w:r>
            <w:proofErr w:type="gramStart"/>
            <w:r w:rsidRPr="00BD1005">
              <w:rPr>
                <w:rFonts w:ascii="Calibri" w:hAnsi="Calibri" w:cs="Calibri"/>
                <w:sz w:val="16"/>
                <w:szCs w:val="16"/>
              </w:rPr>
              <w:t>bud</w:t>
            </w:r>
            <w:proofErr w:type="gramEnd"/>
            <w:r w:rsidRPr="00BD1005">
              <w:rPr>
                <w:rFonts w:ascii="Calibri" w:hAnsi="Calibri" w:cs="Calibri"/>
                <w:sz w:val="16"/>
                <w:szCs w:val="16"/>
              </w:rPr>
              <w:t>. 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118" w:rsidRDefault="00AE2118">
      <w:pPr>
        <w:spacing w:after="0" w:line="240" w:lineRule="auto"/>
      </w:pPr>
      <w:r>
        <w:separator/>
      </w:r>
    </w:p>
  </w:endnote>
  <w:endnote w:type="continuationSeparator" w:id="0">
    <w:p w:rsidR="00AE2118" w:rsidRDefault="00AE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Verze pro zasedání AS FHS 20. 11.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0835E3">
          <w:rPr>
            <w:noProof/>
          </w:rPr>
          <w:t>9</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920D80">
    <w:pPr>
      <w:pStyle w:val="Zpat"/>
      <w:tabs>
        <w:tab w:val="clear" w:pos="9360"/>
        <w:tab w:val="left" w:pos="4536"/>
        <w:tab w:val="right" w:pos="7088"/>
      </w:tabs>
    </w:pPr>
    <w:r>
      <w:t>Verze pro zasedání AS FHS 20. 11.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0835E3">
          <w:rPr>
            <w:noProof/>
          </w:rPr>
          <w:t>10</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Verze pro zasedání AS FHS 20. 11. 2024</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0835E3">
          <w:rPr>
            <w:noProof/>
          </w:rPr>
          <w:t>16</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118" w:rsidRDefault="00AE2118">
      <w:pPr>
        <w:spacing w:after="0" w:line="240" w:lineRule="auto"/>
      </w:pPr>
      <w:r>
        <w:separator/>
      </w:r>
    </w:p>
  </w:footnote>
  <w:footnote w:type="continuationSeparator" w:id="0">
    <w:p w:rsidR="00AE2118" w:rsidRDefault="00AE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9B6E12" w:rsidRDefault="009B6E12" w:rsidP="001669E9">
    <w:pPr>
      <w:tabs>
        <w:tab w:val="left" w:pos="2730"/>
      </w:tabs>
      <w:spacing w:after="0" w:line="259" w:lineRule="auto"/>
      <w:ind w:left="26" w:firstLine="0"/>
      <w:jc w:val="left"/>
    </w:pPr>
    <w:r>
      <w:t xml:space="preserve"> </w:t>
    </w:r>
    <w:r>
      <w:tab/>
    </w:r>
  </w:p>
  <w:p w:rsidR="009B6E12" w:rsidRPr="00BF5449" w:rsidRDefault="009B6E12"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35E3"/>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5538"/>
    <w:rsid w:val="00130472"/>
    <w:rsid w:val="00133685"/>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C0230"/>
    <w:rsid w:val="005C0583"/>
    <w:rsid w:val="005C4B32"/>
    <w:rsid w:val="005C7B1F"/>
    <w:rsid w:val="005D0039"/>
    <w:rsid w:val="005D3430"/>
    <w:rsid w:val="005D4F5C"/>
    <w:rsid w:val="005F0982"/>
    <w:rsid w:val="005F3D4D"/>
    <w:rsid w:val="005F57AE"/>
    <w:rsid w:val="006008CF"/>
    <w:rsid w:val="00601C46"/>
    <w:rsid w:val="006021D9"/>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3DB7"/>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B6E12"/>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118"/>
    <w:rsid w:val="00AE25D2"/>
    <w:rsid w:val="00AE4671"/>
    <w:rsid w:val="00AE6DC2"/>
    <w:rsid w:val="00AE7033"/>
    <w:rsid w:val="00AE769D"/>
    <w:rsid w:val="00AE7C21"/>
    <w:rsid w:val="00AF3AB2"/>
    <w:rsid w:val="00AF71C1"/>
    <w:rsid w:val="00B11690"/>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6725"/>
    <w:rsid w:val="00C473F7"/>
    <w:rsid w:val="00C50C65"/>
    <w:rsid w:val="00C52901"/>
    <w:rsid w:val="00C547DB"/>
    <w:rsid w:val="00C54FFF"/>
    <w:rsid w:val="00C566CC"/>
    <w:rsid w:val="00C56971"/>
    <w:rsid w:val="00C6066B"/>
    <w:rsid w:val="00C655B3"/>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639B"/>
    <w:rsid w:val="00F07420"/>
    <w:rsid w:val="00F11B57"/>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9C620"/>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8B77-1073-4DD8-8888-C45C9D84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3298</Words>
  <Characters>19463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4</cp:revision>
  <cp:lastPrinted>2024-06-07T14:05:00Z</cp:lastPrinted>
  <dcterms:created xsi:type="dcterms:W3CDTF">2024-10-30T12:59:00Z</dcterms:created>
  <dcterms:modified xsi:type="dcterms:W3CDTF">2024-10-31T22:22:00Z</dcterms:modified>
</cp:coreProperties>
</file>