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60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3209"/>
        <w:gridCol w:w="3880"/>
      </w:tblGrid>
      <w:tr w:rsidR="00110293" w:rsidRPr="00E84BEC" w14:paraId="2E6FFCF8" w14:textId="77777777" w:rsidTr="000076B2">
        <w:trPr>
          <w:trHeight w:val="254"/>
        </w:trPr>
        <w:tc>
          <w:tcPr>
            <w:tcW w:w="2515" w:type="dxa"/>
            <w:tcBorders>
              <w:top w:val="double" w:sz="6" w:space="0" w:color="000000"/>
              <w:bottom w:val="single" w:sz="4" w:space="0" w:color="auto"/>
            </w:tcBorders>
          </w:tcPr>
          <w:p w14:paraId="442F9A38" w14:textId="77777777" w:rsidR="00110293" w:rsidRPr="00E84BEC" w:rsidRDefault="00110293" w:rsidP="000076B2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Kód:</w:t>
            </w:r>
          </w:p>
        </w:tc>
        <w:tc>
          <w:tcPr>
            <w:tcW w:w="7089" w:type="dxa"/>
            <w:gridSpan w:val="2"/>
            <w:tcBorders>
              <w:top w:val="double" w:sz="6" w:space="0" w:color="000000"/>
              <w:bottom w:val="single" w:sz="4" w:space="0" w:color="auto"/>
            </w:tcBorders>
          </w:tcPr>
          <w:p w14:paraId="713C3952" w14:textId="2A3BF702" w:rsidR="00110293" w:rsidRPr="00E84BEC" w:rsidRDefault="00110293" w:rsidP="00251DDF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</w:t>
            </w:r>
            <w:r w:rsidRPr="00E84BEC">
              <w:rPr>
                <w:rFonts w:ascii="Times New Roman" w:hAnsi="Times New Roman"/>
              </w:rPr>
              <w:t>D</w:t>
            </w:r>
            <w:r w:rsidRPr="00417240">
              <w:rPr>
                <w:rFonts w:ascii="Times New Roman" w:hAnsi="Times New Roman"/>
              </w:rPr>
              <w:t>/</w:t>
            </w:r>
            <w:r w:rsidR="00F9728F" w:rsidRPr="00811DB1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>/2024</w:t>
            </w:r>
            <w:r w:rsidRPr="00E84BEC">
              <w:rPr>
                <w:rFonts w:ascii="Times New Roman" w:hAnsi="Times New Roman"/>
              </w:rPr>
              <w:t xml:space="preserve"> </w:t>
            </w:r>
            <w:r w:rsidR="00DC7D8B">
              <w:rPr>
                <w:rFonts w:ascii="Times New Roman" w:hAnsi="Times New Roman"/>
              </w:rPr>
              <w:t>-</w:t>
            </w:r>
            <w:r w:rsidR="00F9728F">
              <w:rPr>
                <w:rFonts w:ascii="Times New Roman" w:hAnsi="Times New Roman"/>
              </w:rPr>
              <w:t xml:space="preserve"> dodatek č. </w:t>
            </w:r>
            <w:r w:rsidR="002A1F5C">
              <w:rPr>
                <w:rFonts w:ascii="Times New Roman" w:hAnsi="Times New Roman"/>
              </w:rPr>
              <w:t>2</w:t>
            </w:r>
          </w:p>
        </w:tc>
      </w:tr>
      <w:tr w:rsidR="00110293" w:rsidRPr="00E84BEC" w14:paraId="77E13115" w14:textId="77777777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9488B71" w14:textId="77777777" w:rsidR="00110293" w:rsidRPr="00E84BEC" w:rsidRDefault="00110293" w:rsidP="000076B2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Číslo jednací: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A1D42" w14:textId="5B4D4203" w:rsidR="00110293" w:rsidRPr="00E84BEC" w:rsidRDefault="002D0DD7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UTB/25</w:t>
            </w:r>
            <w:r w:rsidR="00110293">
              <w:rPr>
                <w:rFonts w:ascii="Times New Roman" w:hAnsi="Times New Roman"/>
              </w:rPr>
              <w:t>/</w:t>
            </w:r>
            <w:r w:rsidR="005542C8">
              <w:rPr>
                <w:rFonts w:ascii="Times New Roman" w:hAnsi="Times New Roman"/>
              </w:rPr>
              <w:t>XXXXXX</w:t>
            </w:r>
            <w:bookmarkStart w:id="0" w:name="_GoBack"/>
            <w:bookmarkEnd w:id="0"/>
          </w:p>
        </w:tc>
      </w:tr>
      <w:tr w:rsidR="00110293" w:rsidRPr="00E84BEC" w14:paraId="1AB70AE2" w14:textId="77777777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524F71B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87FAE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INTERNÍ</w:t>
            </w:r>
          </w:p>
        </w:tc>
      </w:tr>
      <w:tr w:rsidR="00110293" w:rsidRPr="00E84BEC" w14:paraId="537015DD" w14:textId="77777777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B293D51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Druh: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2359F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 xml:space="preserve">SMĚRNICE </w:t>
            </w:r>
            <w:r w:rsidRPr="00E84BEC">
              <w:rPr>
                <w:rFonts w:ascii="Times New Roman" w:hAnsi="Times New Roman"/>
                <w:caps/>
              </w:rPr>
              <w:t>Děkana</w:t>
            </w:r>
          </w:p>
        </w:tc>
      </w:tr>
      <w:tr w:rsidR="00110293" w:rsidRPr="00E84BEC" w14:paraId="792DC8BF" w14:textId="77777777" w:rsidTr="00811DB1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397EE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Název: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8345E" w14:textId="07BC83B6" w:rsidR="00110293" w:rsidRPr="00110293" w:rsidRDefault="00251DDF" w:rsidP="0005783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51DDF">
              <w:rPr>
                <w:rFonts w:ascii="Times New Roman" w:hAnsi="Times New Roman"/>
              </w:rPr>
              <w:t>Časové plány výuky na FHS pro akademický rok 2024/2025 a výhled na akademický rok 2025/2026</w:t>
            </w:r>
          </w:p>
        </w:tc>
      </w:tr>
      <w:tr w:rsidR="00110293" w:rsidRPr="00E84BEC" w14:paraId="28800934" w14:textId="77777777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C7B35FA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2BBEB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Fakulta humanitních studií</w:t>
            </w:r>
          </w:p>
        </w:tc>
      </w:tr>
      <w:tr w:rsidR="00110293" w:rsidRPr="00E84BEC" w14:paraId="7E0F290F" w14:textId="77777777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2EDD9C5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3828" w14:textId="597FC04C" w:rsidR="00110293" w:rsidRPr="00DD59A6" w:rsidRDefault="00251DDF" w:rsidP="009E554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51DDF">
              <w:rPr>
                <w:rFonts w:ascii="Times New Roman" w:hAnsi="Times New Roman"/>
                <w:highlight w:val="yellow"/>
              </w:rPr>
              <w:t>XX</w:t>
            </w:r>
            <w:r w:rsidR="005B366D">
              <w:rPr>
                <w:rFonts w:ascii="Times New Roman" w:hAnsi="Times New Roman"/>
              </w:rPr>
              <w:t xml:space="preserve">. </w:t>
            </w:r>
            <w:r w:rsidRPr="00251DDF">
              <w:rPr>
                <w:rFonts w:ascii="Times New Roman" w:hAnsi="Times New Roman"/>
                <w:highlight w:val="yellow"/>
              </w:rPr>
              <w:t xml:space="preserve"> XX</w:t>
            </w:r>
            <w:r w:rsidR="00485F8F">
              <w:rPr>
                <w:rFonts w:ascii="Times New Roman" w:hAnsi="Times New Roman"/>
              </w:rPr>
              <w:t>.</w:t>
            </w:r>
            <w:r w:rsidR="00110293" w:rsidRPr="00DD59A6">
              <w:rPr>
                <w:rFonts w:ascii="Times New Roman" w:hAnsi="Times New Roman"/>
              </w:rPr>
              <w:t xml:space="preserve"> 202</w:t>
            </w:r>
            <w:r w:rsidR="00AB3177">
              <w:rPr>
                <w:rFonts w:ascii="Times New Roman" w:hAnsi="Times New Roman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F04FC" w14:textId="71DF3C53" w:rsidR="00110293" w:rsidRPr="001E79AA" w:rsidRDefault="00A40793" w:rsidP="001E79A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Verze: </w:t>
            </w:r>
            <w:r w:rsidRPr="001E79AA">
              <w:rPr>
                <w:rFonts w:ascii="Times New Roman" w:hAnsi="Times New Roman"/>
                <w:highlight w:val="yellow"/>
              </w:rPr>
              <w:t>0</w:t>
            </w:r>
            <w:r w:rsidR="001E79AA" w:rsidRPr="001E79AA">
              <w:rPr>
                <w:rFonts w:ascii="Times New Roman" w:hAnsi="Times New Roman"/>
                <w:highlight w:val="yellow"/>
              </w:rPr>
              <w:t>3</w:t>
            </w:r>
          </w:p>
        </w:tc>
      </w:tr>
      <w:tr w:rsidR="00110293" w:rsidRPr="00E84BEC" w14:paraId="1CDFAA5A" w14:textId="77777777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6A72BC6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Účinnost: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70033" w14:textId="150102C5" w:rsidR="00110293" w:rsidRPr="00DD59A6" w:rsidRDefault="00251DDF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51DDF">
              <w:rPr>
                <w:rFonts w:ascii="Times New Roman" w:hAnsi="Times New Roman"/>
                <w:highlight w:val="yellow"/>
              </w:rPr>
              <w:t>XX</w:t>
            </w:r>
            <w:r>
              <w:rPr>
                <w:rFonts w:ascii="Times New Roman" w:hAnsi="Times New Roman"/>
              </w:rPr>
              <w:t xml:space="preserve">. </w:t>
            </w:r>
            <w:r w:rsidRPr="00251DDF">
              <w:rPr>
                <w:rFonts w:ascii="Times New Roman" w:hAnsi="Times New Roman"/>
                <w:highlight w:val="yellow"/>
              </w:rPr>
              <w:t xml:space="preserve"> XX</w:t>
            </w:r>
            <w:r>
              <w:rPr>
                <w:rFonts w:ascii="Times New Roman" w:hAnsi="Times New Roman"/>
              </w:rPr>
              <w:t>.</w:t>
            </w:r>
            <w:r w:rsidRPr="00DD59A6">
              <w:rPr>
                <w:rFonts w:ascii="Times New Roman" w:hAnsi="Times New Roman"/>
              </w:rPr>
              <w:t xml:space="preserve"> 202</w:t>
            </w:r>
            <w:r w:rsidR="00AB3177">
              <w:rPr>
                <w:rFonts w:ascii="Times New Roman" w:hAnsi="Times New Roman"/>
              </w:rPr>
              <w:t>5</w:t>
            </w:r>
          </w:p>
        </w:tc>
      </w:tr>
      <w:tr w:rsidR="00110293" w:rsidRPr="00E84BEC" w14:paraId="7D46DE3D" w14:textId="77777777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B97020E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Vydává: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6B83C" w14:textId="77777777" w:rsidR="00110293" w:rsidRPr="00E84BEC" w:rsidRDefault="00251DDF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110293" w:rsidRPr="00E84BEC">
              <w:rPr>
                <w:rFonts w:ascii="Times New Roman" w:hAnsi="Times New Roman"/>
              </w:rPr>
              <w:t>ěkan</w:t>
            </w:r>
          </w:p>
        </w:tc>
      </w:tr>
      <w:tr w:rsidR="00110293" w:rsidRPr="00E84BEC" w14:paraId="5AD329AA" w14:textId="77777777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2C8C186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Zpracoval: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4F2CC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110293" w:rsidRPr="00E84BEC" w14:paraId="558F99A9" w14:textId="77777777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1F24961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Spolupracoval: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5FA48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asistent děkana, vedoucí studijního oddělení</w:t>
            </w:r>
          </w:p>
        </w:tc>
      </w:tr>
      <w:tr w:rsidR="00110293" w:rsidRPr="00E84BEC" w14:paraId="5B824BFD" w14:textId="77777777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106CBD4" w14:textId="77777777" w:rsidR="00110293" w:rsidRPr="00FB6EE6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B6EE6">
              <w:rPr>
                <w:rFonts w:ascii="Times New Roman" w:hAnsi="Times New Roman"/>
              </w:rPr>
              <w:t>Počet stran: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638E9" w14:textId="77777777" w:rsidR="00110293" w:rsidRPr="00FB6EE6" w:rsidRDefault="00251DDF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10293" w:rsidRPr="00E84BEC" w14:paraId="7FCD67A0" w14:textId="77777777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0AA0C57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840DF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0293" w:rsidRPr="00E84BEC" w14:paraId="1666F4C8" w14:textId="77777777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0D634F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Rozdělovník: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77CAE" w14:textId="77777777" w:rsidR="00110293" w:rsidRPr="00E84BEC" w:rsidRDefault="008D05CB" w:rsidP="00485F8F">
            <w:pPr>
              <w:spacing w:line="276" w:lineRule="auto"/>
              <w:jc w:val="both"/>
            </w:pPr>
            <w:r w:rsidRPr="00485F8F">
              <w:rPr>
                <w:rFonts w:ascii="Times New Roman" w:hAnsi="Times New Roman"/>
              </w:rPr>
              <w:t xml:space="preserve">zaměstnanci a </w:t>
            </w:r>
            <w:r w:rsidR="0005555E" w:rsidRPr="00485F8F">
              <w:rPr>
                <w:rFonts w:ascii="Times New Roman" w:hAnsi="Times New Roman"/>
              </w:rPr>
              <w:t>studenti FHS</w:t>
            </w:r>
          </w:p>
        </w:tc>
      </w:tr>
      <w:tr w:rsidR="00110293" w:rsidRPr="00E84BEC" w14:paraId="5E7B654B" w14:textId="77777777" w:rsidTr="000076B2">
        <w:trPr>
          <w:trHeight w:val="427"/>
        </w:trPr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</w:tcPr>
          <w:p w14:paraId="06C960C5" w14:textId="77777777" w:rsidR="00110293" w:rsidRPr="00E84BEC" w:rsidRDefault="00110293" w:rsidP="000076B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921D4F" w14:textId="4158FA5D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EE9E95B" w14:textId="77777777" w:rsidR="00FE056C" w:rsidRDefault="00FE056C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</w:pPr>
    </w:p>
    <w:p w14:paraId="2EAA0C3F" w14:textId="77777777" w:rsidR="00530E1E" w:rsidRDefault="00530E1E" w:rsidP="00530E1E">
      <w:pPr>
        <w:pStyle w:val="Seznam1"/>
        <w:keepNext/>
        <w:numPr>
          <w:ilvl w:val="0"/>
          <w:numId w:val="0"/>
        </w:numPr>
        <w:spacing w:after="120" w:line="276" w:lineRule="auto"/>
      </w:pPr>
      <w:r>
        <w:t>Tímto dodatkem se upravuje Směrnice děkana SD/04/2024 – Časové plány výuky na FHS pro akademický rok 2024/2025 a výhled na akademický rok 2025/2026.</w:t>
      </w:r>
    </w:p>
    <w:p w14:paraId="0F106C11" w14:textId="77777777" w:rsidR="002A1F5C" w:rsidRPr="002A1F5C" w:rsidRDefault="002A1F5C" w:rsidP="00527F42">
      <w:pPr>
        <w:pStyle w:val="Seznam1"/>
        <w:keepNext/>
        <w:numPr>
          <w:ilvl w:val="0"/>
          <w:numId w:val="0"/>
        </w:numPr>
        <w:spacing w:after="120" w:line="276" w:lineRule="auto"/>
      </w:pPr>
      <w:r>
        <w:t xml:space="preserve">Úpravy se týkají změny termínu promocí u všech studijních programů. </w:t>
      </w:r>
      <w:r w:rsidRPr="002A1F5C">
        <w:t>Původní termín stanovený na 16. až 18. července 2025 se mění na nový termín 9. až 11. července 2025.</w:t>
      </w:r>
    </w:p>
    <w:p w14:paraId="73832B3F" w14:textId="429E94A0" w:rsidR="002A1F5C" w:rsidRDefault="002A1F5C" w:rsidP="002A1F5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Tento dodatek byl </w:t>
      </w:r>
      <w:r w:rsidR="00192B13">
        <w:t>projednán</w:t>
      </w:r>
      <w:r>
        <w:t xml:space="preserve"> Akademickým senátem Fakulty humanitních studií Univer</w:t>
      </w:r>
      <w:r w:rsidR="00192B13">
        <w:t xml:space="preserve">zity Tomáše Bati ve Zlíně dne </w:t>
      </w:r>
      <w:r w:rsidR="00192B13" w:rsidRPr="00192B13">
        <w:rPr>
          <w:highlight w:val="yellow"/>
        </w:rPr>
        <w:t>7</w:t>
      </w:r>
      <w:r w:rsidRPr="00192B13">
        <w:rPr>
          <w:highlight w:val="yellow"/>
        </w:rPr>
        <w:t>. května</w:t>
      </w:r>
      <w:r>
        <w:t xml:space="preserve"> 2025.</w:t>
      </w:r>
    </w:p>
    <w:p w14:paraId="0EC241C2" w14:textId="3ADE8FD8" w:rsidR="002A1F5C" w:rsidRDefault="002A1F5C" w:rsidP="00530E1E">
      <w:pPr>
        <w:pStyle w:val="Seznam1"/>
        <w:keepNext/>
        <w:numPr>
          <w:ilvl w:val="0"/>
          <w:numId w:val="0"/>
        </w:numPr>
        <w:spacing w:after="120" w:line="276" w:lineRule="auto"/>
      </w:pP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685"/>
        <w:gridCol w:w="6367"/>
      </w:tblGrid>
      <w:tr w:rsidR="002A1F5C" w:rsidRPr="00527F42" w14:paraId="6E2F3055" w14:textId="77777777" w:rsidTr="00527F42">
        <w:trPr>
          <w:trHeight w:val="563"/>
          <w:jc w:val="center"/>
        </w:trPr>
        <w:tc>
          <w:tcPr>
            <w:tcW w:w="5000" w:type="pct"/>
            <w:gridSpan w:val="2"/>
            <w:shd w:val="clear" w:color="auto" w:fill="D0CECE"/>
          </w:tcPr>
          <w:p w14:paraId="45B5E56C" w14:textId="77777777" w:rsidR="002A1F5C" w:rsidRPr="00527F42" w:rsidRDefault="002A1F5C" w:rsidP="00914414">
            <w:pPr>
              <w:pStyle w:val="TableParagraph"/>
              <w:spacing w:before="120"/>
              <w:ind w:left="21" w:right="4"/>
              <w:jc w:val="center"/>
              <w:rPr>
                <w:b/>
                <w:sz w:val="24"/>
                <w:szCs w:val="24"/>
              </w:rPr>
            </w:pPr>
            <w:r w:rsidRPr="00527F42">
              <w:rPr>
                <w:b/>
                <w:sz w:val="24"/>
                <w:szCs w:val="24"/>
              </w:rPr>
              <w:t>UKONČENÍ</w:t>
            </w:r>
            <w:r w:rsidRPr="00527F42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527F42">
              <w:rPr>
                <w:b/>
                <w:spacing w:val="-2"/>
                <w:sz w:val="24"/>
                <w:szCs w:val="24"/>
              </w:rPr>
              <w:t>STUDIA</w:t>
            </w:r>
          </w:p>
        </w:tc>
      </w:tr>
      <w:tr w:rsidR="002A1F5C" w:rsidRPr="00527F42" w14:paraId="1EBCF985" w14:textId="77777777" w:rsidTr="00527F42">
        <w:trPr>
          <w:trHeight w:val="561"/>
          <w:jc w:val="center"/>
        </w:trPr>
        <w:tc>
          <w:tcPr>
            <w:tcW w:w="14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67DA" w14:textId="7925FF4D" w:rsidR="002A1F5C" w:rsidRPr="00527F42" w:rsidRDefault="002A1F5C" w:rsidP="00914414">
            <w:pPr>
              <w:pStyle w:val="TableParagraph"/>
              <w:spacing w:before="29"/>
              <w:ind w:left="71"/>
              <w:rPr>
                <w:sz w:val="24"/>
                <w:szCs w:val="24"/>
              </w:rPr>
            </w:pPr>
            <w:r w:rsidRPr="00527F42">
              <w:rPr>
                <w:sz w:val="24"/>
                <w:szCs w:val="24"/>
              </w:rPr>
              <w:t>9. 7. 2025 – 11. 7. 2025</w:t>
            </w:r>
          </w:p>
        </w:tc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8F0DC" w14:textId="77777777" w:rsidR="002A1F5C" w:rsidRPr="00527F42" w:rsidRDefault="002A1F5C" w:rsidP="00914414">
            <w:pPr>
              <w:pStyle w:val="TableParagraph"/>
              <w:spacing w:before="29"/>
              <w:rPr>
                <w:sz w:val="24"/>
                <w:szCs w:val="24"/>
              </w:rPr>
            </w:pPr>
            <w:proofErr w:type="spellStart"/>
            <w:r w:rsidRPr="00527F42">
              <w:rPr>
                <w:spacing w:val="-2"/>
                <w:sz w:val="24"/>
                <w:szCs w:val="24"/>
              </w:rPr>
              <w:t>Promoce</w:t>
            </w:r>
            <w:proofErr w:type="spellEnd"/>
          </w:p>
        </w:tc>
      </w:tr>
    </w:tbl>
    <w:p w14:paraId="07411415" w14:textId="77777777" w:rsidR="002A1F5C" w:rsidRDefault="002A1F5C" w:rsidP="00530E1E">
      <w:pPr>
        <w:pStyle w:val="Seznam1"/>
        <w:keepNext/>
        <w:numPr>
          <w:ilvl w:val="0"/>
          <w:numId w:val="0"/>
        </w:numPr>
        <w:spacing w:after="120" w:line="276" w:lineRule="auto"/>
      </w:pPr>
    </w:p>
    <w:p w14:paraId="23953AB8" w14:textId="77777777" w:rsidR="003852E1" w:rsidRDefault="003852E1" w:rsidP="002A1F5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tbl>
      <w:tblPr>
        <w:tblW w:w="9543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634"/>
      </w:tblGrid>
      <w:tr w:rsidR="00110293" w:rsidRPr="00E84BEC" w14:paraId="59EF1BD9" w14:textId="77777777" w:rsidTr="00B934A2">
        <w:tc>
          <w:tcPr>
            <w:tcW w:w="9543" w:type="dxa"/>
            <w:gridSpan w:val="4"/>
            <w:tcBorders>
              <w:top w:val="double" w:sz="6" w:space="0" w:color="000000"/>
            </w:tcBorders>
          </w:tcPr>
          <w:p w14:paraId="2EFA788A" w14:textId="77777777" w:rsidR="00110293" w:rsidRPr="00E84BEC" w:rsidRDefault="00D111B9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br w:type="page"/>
            </w:r>
            <w:r w:rsidR="00110293" w:rsidRPr="00E84BEC">
              <w:rPr>
                <w:rFonts w:ascii="Times New Roman" w:hAnsi="Times New Roman"/>
              </w:rPr>
              <w:t>Verze dokumentu</w:t>
            </w:r>
          </w:p>
        </w:tc>
      </w:tr>
      <w:tr w:rsidR="00110293" w:rsidRPr="00E84BEC" w14:paraId="217D0AAC" w14:textId="77777777" w:rsidTr="00B934A2">
        <w:tc>
          <w:tcPr>
            <w:tcW w:w="2303" w:type="dxa"/>
          </w:tcPr>
          <w:p w14:paraId="450C4C3E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03D5BC65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39A92850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Změněno</w:t>
            </w:r>
          </w:p>
        </w:tc>
        <w:tc>
          <w:tcPr>
            <w:tcW w:w="2634" w:type="dxa"/>
          </w:tcPr>
          <w:p w14:paraId="297C52B1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Popis změny</w:t>
            </w:r>
          </w:p>
        </w:tc>
      </w:tr>
      <w:tr w:rsidR="00110293" w:rsidRPr="00E84BEC" w14:paraId="49E0A3A1" w14:textId="77777777" w:rsidTr="00B934A2">
        <w:tc>
          <w:tcPr>
            <w:tcW w:w="2303" w:type="dxa"/>
          </w:tcPr>
          <w:p w14:paraId="550F2F11" w14:textId="01D8C567" w:rsidR="00110293" w:rsidRPr="002D0DD7" w:rsidRDefault="002D0DD7" w:rsidP="002D0D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0DD7">
              <w:rPr>
                <w:rFonts w:ascii="Times New Roman" w:hAnsi="Times New Roman"/>
              </w:rPr>
              <w:t>16</w:t>
            </w:r>
            <w:r w:rsidR="00530E1E" w:rsidRPr="002D0DD7">
              <w:rPr>
                <w:rFonts w:ascii="Times New Roman" w:hAnsi="Times New Roman"/>
              </w:rPr>
              <w:t xml:space="preserve">. </w:t>
            </w:r>
            <w:r w:rsidRPr="002D0DD7">
              <w:rPr>
                <w:rFonts w:ascii="Times New Roman" w:hAnsi="Times New Roman"/>
              </w:rPr>
              <w:t>9</w:t>
            </w:r>
            <w:r w:rsidR="00530E1E" w:rsidRPr="002D0DD7">
              <w:rPr>
                <w:rFonts w:ascii="Times New Roman" w:hAnsi="Times New Roman"/>
              </w:rPr>
              <w:t>.</w:t>
            </w:r>
            <w:r w:rsidR="005B366D" w:rsidRPr="002D0DD7">
              <w:rPr>
                <w:rFonts w:ascii="Times New Roman" w:hAnsi="Times New Roman"/>
              </w:rPr>
              <w:t xml:space="preserve"> 202</w:t>
            </w:r>
            <w:r w:rsidRPr="002D0DD7">
              <w:rPr>
                <w:rFonts w:ascii="Times New Roman" w:hAnsi="Times New Roman"/>
              </w:rPr>
              <w:t>4</w:t>
            </w:r>
          </w:p>
        </w:tc>
        <w:tc>
          <w:tcPr>
            <w:tcW w:w="2303" w:type="dxa"/>
          </w:tcPr>
          <w:p w14:paraId="428D7D10" w14:textId="77E85EFD" w:rsidR="00110293" w:rsidRPr="002D0DD7" w:rsidRDefault="00530E1E" w:rsidP="001E79AA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2D0DD7">
              <w:rPr>
                <w:rFonts w:ascii="Times New Roman" w:hAnsi="Times New Roman"/>
              </w:rPr>
              <w:t>0</w:t>
            </w:r>
            <w:r w:rsidR="00192B13" w:rsidRPr="002D0DD7">
              <w:rPr>
                <w:rFonts w:ascii="Times New Roman" w:hAnsi="Times New Roman"/>
              </w:rPr>
              <w:t>2</w:t>
            </w:r>
          </w:p>
        </w:tc>
        <w:tc>
          <w:tcPr>
            <w:tcW w:w="2303" w:type="dxa"/>
          </w:tcPr>
          <w:p w14:paraId="49039924" w14:textId="77777777" w:rsidR="00110293" w:rsidRPr="002D0DD7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0DD7">
              <w:rPr>
                <w:rFonts w:ascii="Times New Roman" w:hAnsi="Times New Roman"/>
              </w:rPr>
              <w:t>Děkan</w:t>
            </w:r>
          </w:p>
        </w:tc>
        <w:tc>
          <w:tcPr>
            <w:tcW w:w="2634" w:type="dxa"/>
          </w:tcPr>
          <w:p w14:paraId="2A16DB1D" w14:textId="77777777" w:rsidR="00110293" w:rsidRPr="00E84BEC" w:rsidRDefault="00530E1E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Změna</w:t>
            </w:r>
            <w:r w:rsidR="00110293" w:rsidRPr="00E84BEC">
              <w:rPr>
                <w:rFonts w:ascii="Times New Roman" w:hAnsi="Times New Roman"/>
              </w:rPr>
              <w:t xml:space="preserve"> dokumentu</w:t>
            </w:r>
          </w:p>
        </w:tc>
      </w:tr>
      <w:tr w:rsidR="00192B13" w:rsidRPr="00E84BEC" w14:paraId="591BB905" w14:textId="77777777" w:rsidTr="00B934A2">
        <w:tc>
          <w:tcPr>
            <w:tcW w:w="2303" w:type="dxa"/>
          </w:tcPr>
          <w:p w14:paraId="49F224E4" w14:textId="405EDFFF" w:rsidR="00192B13" w:rsidRPr="00E84BEC" w:rsidRDefault="00192B13" w:rsidP="00192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51DDF">
              <w:rPr>
                <w:rFonts w:ascii="Times New Roman" w:hAnsi="Times New Roman"/>
                <w:highlight w:val="yellow"/>
              </w:rPr>
              <w:t>XX</w:t>
            </w:r>
            <w:r>
              <w:rPr>
                <w:rFonts w:ascii="Times New Roman" w:hAnsi="Times New Roman"/>
              </w:rPr>
              <w:t xml:space="preserve">. </w:t>
            </w:r>
            <w:r w:rsidRPr="00251DDF">
              <w:rPr>
                <w:rFonts w:ascii="Times New Roman" w:hAnsi="Times New Roman"/>
                <w:highlight w:val="yellow"/>
              </w:rPr>
              <w:t xml:space="preserve"> XX</w:t>
            </w:r>
            <w:r>
              <w:rPr>
                <w:rFonts w:ascii="Times New Roman" w:hAnsi="Times New Roman"/>
              </w:rPr>
              <w:t>. 2025</w:t>
            </w:r>
          </w:p>
        </w:tc>
        <w:tc>
          <w:tcPr>
            <w:tcW w:w="2303" w:type="dxa"/>
          </w:tcPr>
          <w:p w14:paraId="697E0AA7" w14:textId="12C4004C" w:rsidR="00192B13" w:rsidRPr="00E84BEC" w:rsidRDefault="00192B13" w:rsidP="00192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E79AA">
              <w:rPr>
                <w:rFonts w:ascii="Times New Roman" w:hAnsi="Times New Roman"/>
                <w:highlight w:val="yellow"/>
              </w:rPr>
              <w:t>03</w:t>
            </w:r>
          </w:p>
        </w:tc>
        <w:tc>
          <w:tcPr>
            <w:tcW w:w="2303" w:type="dxa"/>
          </w:tcPr>
          <w:p w14:paraId="236BA1FB" w14:textId="044C221B" w:rsidR="00192B13" w:rsidRPr="00E84BEC" w:rsidRDefault="00192B13" w:rsidP="00192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</w:t>
            </w:r>
          </w:p>
        </w:tc>
        <w:tc>
          <w:tcPr>
            <w:tcW w:w="2634" w:type="dxa"/>
          </w:tcPr>
          <w:p w14:paraId="7331D094" w14:textId="77C505A6" w:rsidR="00192B13" w:rsidRPr="00E84BEC" w:rsidRDefault="00192B13" w:rsidP="00192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Změna</w:t>
            </w:r>
            <w:r w:rsidRPr="00E84BEC">
              <w:rPr>
                <w:rFonts w:ascii="Times New Roman" w:hAnsi="Times New Roman"/>
              </w:rPr>
              <w:t xml:space="preserve"> dokumentu</w:t>
            </w:r>
          </w:p>
        </w:tc>
      </w:tr>
    </w:tbl>
    <w:p w14:paraId="1795ED61" w14:textId="77777777" w:rsidR="004F48CE" w:rsidRDefault="004F48CE"/>
    <w:sectPr w:rsidR="004F48CE" w:rsidSect="0080313C">
      <w:headerReference w:type="default" r:id="rId7"/>
      <w:footerReference w:type="default" r:id="rId8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1BE82" w14:textId="77777777" w:rsidR="00164A1A" w:rsidRDefault="00164A1A">
      <w:r>
        <w:separator/>
      </w:r>
    </w:p>
  </w:endnote>
  <w:endnote w:type="continuationSeparator" w:id="0">
    <w:p w14:paraId="5754FDEB" w14:textId="77777777" w:rsidR="00164A1A" w:rsidRDefault="0016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74611" w14:textId="65C3202A" w:rsidR="006B0EC2" w:rsidRDefault="0090259D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5542C8">
      <w:rPr>
        <w:noProof/>
      </w:rPr>
      <w:t>1</w:t>
    </w:r>
    <w:r w:rsidRPr="00595DF0">
      <w:fldChar w:fldCharType="end"/>
    </w:r>
  </w:p>
  <w:p w14:paraId="7307E10D" w14:textId="42AAE65E" w:rsidR="00B01F07" w:rsidRPr="00595DF0" w:rsidRDefault="00B01F07">
    <w:pPr>
      <w:pStyle w:val="Zpat"/>
      <w:jc w:val="center"/>
    </w:pPr>
    <w:r>
      <w:rPr>
        <w:sz w:val="20"/>
        <w:szCs w:val="20"/>
      </w:rPr>
      <w:t xml:space="preserve">Verze pro zasedání AS FHS </w:t>
    </w:r>
    <w:r w:rsidR="00327268">
      <w:rPr>
        <w:sz w:val="20"/>
        <w:szCs w:val="20"/>
      </w:rPr>
      <w:t>7</w:t>
    </w:r>
    <w:r>
      <w:rPr>
        <w:sz w:val="20"/>
        <w:szCs w:val="20"/>
      </w:rPr>
      <w:t xml:space="preserve">. </w:t>
    </w:r>
    <w:r w:rsidR="00327268">
      <w:rPr>
        <w:sz w:val="20"/>
        <w:szCs w:val="20"/>
      </w:rPr>
      <w:t>5</w:t>
    </w:r>
    <w:r>
      <w:rPr>
        <w:sz w:val="20"/>
        <w:szCs w:val="20"/>
      </w:rPr>
      <w:t>. 202</w:t>
    </w:r>
    <w:r w:rsidR="002A1F5C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91638" w14:textId="77777777" w:rsidR="00164A1A" w:rsidRDefault="00164A1A">
      <w:r>
        <w:separator/>
      </w:r>
    </w:p>
  </w:footnote>
  <w:footnote w:type="continuationSeparator" w:id="0">
    <w:p w14:paraId="5C32845D" w14:textId="77777777" w:rsidR="00164A1A" w:rsidRDefault="0016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4F17" w14:textId="77777777" w:rsidR="006B0EC2" w:rsidRPr="00892C42" w:rsidRDefault="0090259D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774002B7" w14:textId="77777777" w:rsidR="006B0EC2" w:rsidRDefault="0090259D" w:rsidP="00B50F38">
    <w:pPr>
      <w:pStyle w:val="Zhlav"/>
    </w:pPr>
    <w:r>
      <w:rPr>
        <w:i/>
        <w:iCs/>
        <w:sz w:val="20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14F6D18"/>
    <w:multiLevelType w:val="hybridMultilevel"/>
    <w:tmpl w:val="1ABCF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23E5"/>
    <w:multiLevelType w:val="hybridMultilevel"/>
    <w:tmpl w:val="69E02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3"/>
    <w:rsid w:val="0005555E"/>
    <w:rsid w:val="0005783F"/>
    <w:rsid w:val="00110293"/>
    <w:rsid w:val="00111F64"/>
    <w:rsid w:val="00127E58"/>
    <w:rsid w:val="001622E6"/>
    <w:rsid w:val="00164A1A"/>
    <w:rsid w:val="00192B13"/>
    <w:rsid w:val="001B13D8"/>
    <w:rsid w:val="001E79AA"/>
    <w:rsid w:val="00251DDF"/>
    <w:rsid w:val="002A1F5C"/>
    <w:rsid w:val="002D0DD7"/>
    <w:rsid w:val="00316B82"/>
    <w:rsid w:val="00327268"/>
    <w:rsid w:val="00337BBF"/>
    <w:rsid w:val="003852E1"/>
    <w:rsid w:val="003C717D"/>
    <w:rsid w:val="003E18E6"/>
    <w:rsid w:val="00417240"/>
    <w:rsid w:val="00460545"/>
    <w:rsid w:val="00485F8F"/>
    <w:rsid w:val="004F48CE"/>
    <w:rsid w:val="00512BA1"/>
    <w:rsid w:val="00526E7F"/>
    <w:rsid w:val="00527F42"/>
    <w:rsid w:val="00530E1E"/>
    <w:rsid w:val="005542C8"/>
    <w:rsid w:val="005B366D"/>
    <w:rsid w:val="005B6B5B"/>
    <w:rsid w:val="005C3F7C"/>
    <w:rsid w:val="005E7410"/>
    <w:rsid w:val="0064653B"/>
    <w:rsid w:val="00681697"/>
    <w:rsid w:val="006E4639"/>
    <w:rsid w:val="0075387C"/>
    <w:rsid w:val="00760391"/>
    <w:rsid w:val="007962CD"/>
    <w:rsid w:val="0080350A"/>
    <w:rsid w:val="00811DB1"/>
    <w:rsid w:val="008D05CB"/>
    <w:rsid w:val="008D53E0"/>
    <w:rsid w:val="0090259D"/>
    <w:rsid w:val="00927AEF"/>
    <w:rsid w:val="009E5543"/>
    <w:rsid w:val="009F55D5"/>
    <w:rsid w:val="00A40793"/>
    <w:rsid w:val="00A95FAB"/>
    <w:rsid w:val="00AB1ABF"/>
    <w:rsid w:val="00AB3177"/>
    <w:rsid w:val="00B01F07"/>
    <w:rsid w:val="00B934A2"/>
    <w:rsid w:val="00BC7807"/>
    <w:rsid w:val="00C53D59"/>
    <w:rsid w:val="00D111B9"/>
    <w:rsid w:val="00D16CF0"/>
    <w:rsid w:val="00D31654"/>
    <w:rsid w:val="00D90C02"/>
    <w:rsid w:val="00DC78FA"/>
    <w:rsid w:val="00DC7D8B"/>
    <w:rsid w:val="00E2643F"/>
    <w:rsid w:val="00F833AF"/>
    <w:rsid w:val="00F9728F"/>
    <w:rsid w:val="00FC4CC7"/>
    <w:rsid w:val="00FD216E"/>
    <w:rsid w:val="00FE056C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8642C"/>
  <w15:chartTrackingRefBased/>
  <w15:docId w15:val="{8F95EF2C-ED8D-4B71-96F5-891DCB0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293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10293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1029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0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Seznam1">
    <w:name w:val="Seznam (1)"/>
    <w:basedOn w:val="Normln"/>
    <w:rsid w:val="00110293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02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Default">
    <w:name w:val="Default"/>
    <w:rsid w:val="00110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852E1"/>
  </w:style>
  <w:style w:type="paragraph" w:styleId="Textbubliny">
    <w:name w:val="Balloon Text"/>
    <w:basedOn w:val="Normln"/>
    <w:link w:val="TextbublinyChar"/>
    <w:uiPriority w:val="99"/>
    <w:semiHidden/>
    <w:unhideWhenUsed/>
    <w:rsid w:val="00F97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28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2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21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216E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1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16E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2A1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A1F5C"/>
    <w:pPr>
      <w:widowControl w:val="0"/>
      <w:autoSpaceDE w:val="0"/>
      <w:autoSpaceDN w:val="0"/>
      <w:spacing w:before="31"/>
      <w:ind w:left="76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994</Characters>
  <Application>Microsoft Office Word</Application>
  <DocSecurity>0</DocSecurity>
  <Lines>62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Lečbychová</dc:creator>
  <cp:keywords/>
  <dc:description/>
  <cp:lastModifiedBy>Petr Horák</cp:lastModifiedBy>
  <cp:revision>3</cp:revision>
  <dcterms:created xsi:type="dcterms:W3CDTF">2025-04-03T13:41:00Z</dcterms:created>
  <dcterms:modified xsi:type="dcterms:W3CDTF">2025-04-03T13:41:00Z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64ee13144e2a29dddc9b4b44e5243c7a28c969e09c9e35060c564f3670c6a755</vt:lpwstr>
  </property>
</Properties>
</file>