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095A0BD7" w:rsidR="00465FEB" w:rsidRPr="00FE4EB8" w:rsidRDefault="008647A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2024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7238DE8A" w14:textId="433AF928" w:rsidR="000E7714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98151776" w:history="1">
            <w:r w:rsidR="000E7714" w:rsidRPr="00304D45">
              <w:rPr>
                <w:rStyle w:val="Hypertextovodkaz"/>
                <w:rFonts w:cstheme="minorHAnsi"/>
                <w:noProof/>
              </w:rPr>
              <w:t>1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Úvod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_Toc198151776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3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ABE4C52" w14:textId="38274813" w:rsidR="000E7714" w:rsidRDefault="0005321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77" w:history="1">
            <w:r w:rsidR="000E7714" w:rsidRPr="00304D45">
              <w:rPr>
                <w:rStyle w:val="Hypertextovodkaz"/>
                <w:rFonts w:cstheme="minorHAnsi"/>
                <w:noProof/>
              </w:rPr>
              <w:t>2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_Toc198151777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3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4182A6C1" w14:textId="29E5E369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78" w:history="1">
            <w:r w:rsidR="000E7714" w:rsidRPr="00304D45">
              <w:rPr>
                <w:rStyle w:val="Hypertextovodkaz"/>
                <w:rFonts w:cstheme="minorHAnsi"/>
                <w:noProof/>
              </w:rPr>
              <w:t>2.1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_Toc198151778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4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4C440019" w14:textId="2F9ADD6E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79" w:history="1">
            <w:r w:rsidR="000E7714" w:rsidRPr="00304D45">
              <w:rPr>
                <w:rStyle w:val="Hypertextovodkaz"/>
                <w:rFonts w:cstheme="minorHAnsi"/>
                <w:noProof/>
              </w:rPr>
              <w:t>2.2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_Toc198151779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4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67C48B95" w14:textId="62C29EAE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0" w:history="1">
            <w:r w:rsidR="000E7714" w:rsidRPr="00304D45">
              <w:rPr>
                <w:rStyle w:val="Hypertextovodkaz"/>
                <w:rFonts w:cstheme="minorHAnsi"/>
                <w:noProof/>
              </w:rPr>
              <w:t>2.2.1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_Toc198151780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5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7A2BBE6C" w14:textId="0064286F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1" w:history="1">
            <w:r w:rsidR="000E7714" w:rsidRPr="00304D45">
              <w:rPr>
                <w:rStyle w:val="Hypertextovodkaz"/>
                <w:rFonts w:cstheme="minorHAnsi"/>
                <w:noProof/>
              </w:rPr>
              <w:t>2.2.2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_Toc198151781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5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7B3539A1" w14:textId="69EA693A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2" w:history="1">
            <w:r w:rsidR="000E7714" w:rsidRPr="00304D45">
              <w:rPr>
                <w:rStyle w:val="Hypertextovodkaz"/>
                <w:rFonts w:cstheme="minorHAnsi"/>
                <w:noProof/>
              </w:rPr>
              <w:t>2.3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Program na podporu strategického řízení vysokých škol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_Toc198151782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6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43F0D431" w14:textId="5455F4B2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3" w:history="1">
            <w:r w:rsidR="000E7714" w:rsidRPr="00304D45">
              <w:rPr>
                <w:rStyle w:val="Hypertextovodkaz"/>
                <w:rFonts w:cstheme="minorHAnsi"/>
                <w:noProof/>
              </w:rPr>
              <w:t>2.4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_Toc198151783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6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9093BA3" w14:textId="378132A6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4" w:history="1">
            <w:r w:rsidR="000E7714" w:rsidRPr="00304D45">
              <w:rPr>
                <w:rStyle w:val="Hypertextovodkaz"/>
                <w:rFonts w:cstheme="minorHAnsi"/>
                <w:noProof/>
              </w:rPr>
              <w:t>2.5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Podpora VVaI – DKRVO – dotace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_Toc198151784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7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42419BE7" w14:textId="1BBC3F5E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5" w:history="1">
            <w:r w:rsidR="000E7714" w:rsidRPr="00304D45">
              <w:rPr>
                <w:rStyle w:val="Hypertextovodkaz"/>
                <w:rFonts w:cstheme="minorHAnsi"/>
                <w:noProof/>
              </w:rPr>
              <w:t>2.6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Ukazatel P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_Toc198151785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8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6A06D5E4" w14:textId="18384891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6" w:history="1">
            <w:r w:rsidR="000E7714" w:rsidRPr="00304D45">
              <w:rPr>
                <w:rStyle w:val="Hypertextovodkaz"/>
                <w:rFonts w:cstheme="minorHAnsi"/>
                <w:noProof/>
              </w:rPr>
              <w:t>2.7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_Toc198151786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8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23487807" w14:textId="630308AF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7" w:history="1">
            <w:r w:rsidR="000E7714" w:rsidRPr="00304D45">
              <w:rPr>
                <w:rStyle w:val="Hypertextovodkaz"/>
                <w:rFonts w:cstheme="minorHAnsi"/>
                <w:noProof/>
              </w:rPr>
              <w:t>2.7.1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Projekt Grantové agentury ČR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_Toc198151787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8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2E31631C" w14:textId="09315C1E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8" w:history="1">
            <w:r w:rsidR="000E7714" w:rsidRPr="00304D45">
              <w:rPr>
                <w:rStyle w:val="Hypertextovodkaz"/>
                <w:rFonts w:cstheme="minorHAnsi"/>
                <w:noProof/>
              </w:rPr>
              <w:t>2.7.2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Norské fondy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_Toc198151788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9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37B3F659" w14:textId="048701C0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89" w:history="1">
            <w:r w:rsidR="000E7714" w:rsidRPr="00304D45">
              <w:rPr>
                <w:rStyle w:val="Hypertextovodkaz"/>
                <w:rFonts w:cstheme="minorHAnsi"/>
                <w:noProof/>
              </w:rPr>
              <w:t>2.7.3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Národní program obnovy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_Toc198151789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9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DFE919F" w14:textId="7CF6344D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0" w:history="1">
            <w:r w:rsidR="000E7714" w:rsidRPr="00304D45">
              <w:rPr>
                <w:rStyle w:val="Hypertextovodkaz"/>
                <w:rFonts w:cstheme="minorHAnsi"/>
                <w:noProof/>
              </w:rPr>
              <w:t>2.7.4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Projekt Nadace České spořitelny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_Toc198151790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10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7A2539B4" w14:textId="03CED149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1" w:history="1">
            <w:r w:rsidR="000E7714" w:rsidRPr="00304D45">
              <w:rPr>
                <w:rStyle w:val="Hypertextovodkaz"/>
                <w:rFonts w:cstheme="minorHAnsi"/>
                <w:noProof/>
              </w:rPr>
              <w:t>2.7.5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Projekt Nadace rodiny Vlčkových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_Toc198151791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10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123B065" w14:textId="03FC1F02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2" w:history="1">
            <w:r w:rsidR="000E7714" w:rsidRPr="00304D45">
              <w:rPr>
                <w:rStyle w:val="Hypertextovodkaz"/>
                <w:rFonts w:cstheme="minorHAnsi"/>
                <w:noProof/>
              </w:rPr>
              <w:t>2.7.6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Dotace na projekty OP JAK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_Toc198151792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11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5132CBDC" w14:textId="7B7F6D99" w:rsidR="000E7714" w:rsidRDefault="0005321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3" w:history="1">
            <w:r w:rsidR="000E7714" w:rsidRPr="00304D45">
              <w:rPr>
                <w:rStyle w:val="Hypertextovodkaz"/>
                <w:rFonts w:cstheme="minorHAnsi"/>
                <w:noProof/>
              </w:rPr>
              <w:t>2.7.7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Dotace Zlínského Kraje – Creativity, Inteligence &amp; Talent pro Zlínský kraj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_Toc198151793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12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24C3A778" w14:textId="2819EF41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4" w:history="1">
            <w:r w:rsidR="000E7714" w:rsidRPr="00304D45">
              <w:rPr>
                <w:rStyle w:val="Hypertextovodkaz"/>
                <w:rFonts w:cstheme="minorHAnsi"/>
                <w:noProof/>
              </w:rPr>
              <w:t>2.8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_Toc198151794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12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0FC5ECB" w14:textId="5553B18F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5" w:history="1">
            <w:r w:rsidR="000E7714" w:rsidRPr="00304D45">
              <w:rPr>
                <w:rStyle w:val="Hypertextovodkaz"/>
                <w:rFonts w:cstheme="minorHAnsi"/>
                <w:noProof/>
              </w:rPr>
              <w:t>2.9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_Toc198151795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13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6CCD4E10" w14:textId="0E96BC1B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6" w:history="1">
            <w:r w:rsidR="000E7714" w:rsidRPr="00304D45">
              <w:rPr>
                <w:rStyle w:val="Hypertextovodkaz"/>
                <w:rFonts w:cstheme="minorHAnsi"/>
                <w:noProof/>
              </w:rPr>
              <w:t>2.10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_Toc198151796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14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1B389E1F" w14:textId="39E4C0EB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7" w:history="1">
            <w:r w:rsidR="000E7714" w:rsidRPr="00304D45">
              <w:rPr>
                <w:rStyle w:val="Hypertextovodkaz"/>
                <w:rFonts w:cstheme="minorHAnsi"/>
                <w:noProof/>
              </w:rPr>
              <w:t>2.11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Osobní náklady FHS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_Toc198151797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14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6616D643" w14:textId="14B4125D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8" w:history="1">
            <w:r w:rsidR="000E7714" w:rsidRPr="00304D45">
              <w:rPr>
                <w:rStyle w:val="Hypertextovodkaz"/>
                <w:rFonts w:cstheme="minorHAnsi"/>
                <w:noProof/>
              </w:rPr>
              <w:t>2.12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Majetkové účty FHS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_Toc198151798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17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1526C1BA" w14:textId="1946DE68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799" w:history="1">
            <w:r w:rsidR="000E7714" w:rsidRPr="00304D45">
              <w:rPr>
                <w:rStyle w:val="Hypertextovodkaz"/>
                <w:rFonts w:cstheme="minorHAnsi"/>
                <w:noProof/>
              </w:rPr>
              <w:t>2.13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_Toc198151799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19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AE2B9F1" w14:textId="24945B3B" w:rsidR="000E7714" w:rsidRDefault="0005321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800" w:history="1">
            <w:r w:rsidR="000E7714" w:rsidRPr="00304D45">
              <w:rPr>
                <w:rStyle w:val="Hypertextovodkaz"/>
                <w:rFonts w:cstheme="minorHAnsi"/>
                <w:noProof/>
              </w:rPr>
              <w:t>2.14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_Toc198151800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19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3703FCF6" w14:textId="2BFC2BD0" w:rsidR="000E7714" w:rsidRDefault="0005321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801" w:history="1">
            <w:r w:rsidR="000E7714" w:rsidRPr="00304D45">
              <w:rPr>
                <w:rStyle w:val="Hypertextovodkaz"/>
                <w:rFonts w:cstheme="minorHAnsi"/>
                <w:noProof/>
              </w:rPr>
              <w:t>3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_Toc198151801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20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2F0C3BDD" w14:textId="25D5BA3A" w:rsidR="000E7714" w:rsidRDefault="0005321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802" w:history="1">
            <w:r w:rsidR="000E7714" w:rsidRPr="00304D45">
              <w:rPr>
                <w:rStyle w:val="Hypertextovodkaz"/>
                <w:rFonts w:cstheme="minorHAnsi"/>
                <w:noProof/>
              </w:rPr>
              <w:t>4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_Toc198151802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21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361669B" w14:textId="62CD28CE" w:rsidR="000E7714" w:rsidRDefault="0005321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8151803" w:history="1">
            <w:r w:rsidR="000E7714" w:rsidRPr="00304D45">
              <w:rPr>
                <w:rStyle w:val="Hypertextovodkaz"/>
                <w:rFonts w:cstheme="minorHAnsi"/>
                <w:noProof/>
              </w:rPr>
              <w:t>5</w:t>
            </w:r>
            <w:r w:rsidR="000E771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E7714" w:rsidRPr="00304D45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0E7714">
              <w:rPr>
                <w:noProof/>
                <w:webHidden/>
              </w:rPr>
              <w:tab/>
            </w:r>
            <w:r w:rsidR="000E7714">
              <w:rPr>
                <w:noProof/>
                <w:webHidden/>
              </w:rPr>
              <w:fldChar w:fldCharType="begin"/>
            </w:r>
            <w:r w:rsidR="000E7714">
              <w:rPr>
                <w:noProof/>
                <w:webHidden/>
              </w:rPr>
              <w:instrText xml:space="preserve"> PAGEREF _Toc198151803 \h </w:instrText>
            </w:r>
            <w:r w:rsidR="000E7714">
              <w:rPr>
                <w:noProof/>
                <w:webHidden/>
              </w:rPr>
            </w:r>
            <w:r w:rsidR="000E7714">
              <w:rPr>
                <w:noProof/>
                <w:webHidden/>
              </w:rPr>
              <w:fldChar w:fldCharType="separate"/>
            </w:r>
            <w:r w:rsidR="000E7714">
              <w:rPr>
                <w:noProof/>
                <w:webHidden/>
              </w:rPr>
              <w:t>22</w:t>
            </w:r>
            <w:r w:rsidR="000E7714">
              <w:rPr>
                <w:noProof/>
                <w:webHidden/>
              </w:rPr>
              <w:fldChar w:fldCharType="end"/>
            </w:r>
          </w:hyperlink>
        </w:p>
        <w:p w14:paraId="001A457C" w14:textId="31B7C622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98151776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4249EC9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647A7">
        <w:rPr>
          <w:rFonts w:asciiTheme="minorHAnsi" w:hAnsiTheme="minorHAnsi" w:cstheme="minorHAnsi"/>
        </w:rPr>
        <w:t>24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 xml:space="preserve">avidla rozpočtu </w:t>
      </w:r>
      <w:r w:rsidR="008647A7">
        <w:rPr>
          <w:rFonts w:asciiTheme="minorHAnsi" w:hAnsiTheme="minorHAnsi" w:cstheme="minorHAnsi"/>
        </w:rPr>
        <w:t>Univerzity Tomáše Bati ve Zlíně pro rok 2024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647A7">
        <w:rPr>
          <w:rFonts w:asciiTheme="minorHAnsi" w:hAnsiTheme="minorHAnsi" w:cstheme="minorHAnsi"/>
        </w:rPr>
        <w:t xml:space="preserve"> ve Zlíně na rok 2024</w:t>
      </w:r>
      <w:r w:rsidR="008247C6">
        <w:rPr>
          <w:rFonts w:asciiTheme="minorHAnsi" w:hAnsiTheme="minorHAnsi" w:cstheme="minorHAnsi"/>
        </w:rPr>
        <w:t xml:space="preserve"> včetně </w:t>
      </w:r>
      <w:r w:rsidR="00163664">
        <w:rPr>
          <w:rFonts w:asciiTheme="minorHAnsi" w:hAnsiTheme="minorHAnsi" w:cstheme="minorHAnsi"/>
        </w:rPr>
        <w:t>dodatků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647A7">
        <w:rPr>
          <w:rFonts w:asciiTheme="minorHAnsi" w:hAnsiTheme="minorHAnsi" w:cstheme="minorHAnsi"/>
        </w:rPr>
        <w:t>y humanitních studií na rok 2024</w:t>
      </w:r>
      <w:r w:rsidR="008247C6">
        <w:rPr>
          <w:rFonts w:asciiTheme="minorHAnsi" w:hAnsiTheme="minorHAnsi" w:cstheme="minorHAnsi"/>
        </w:rPr>
        <w:t xml:space="preserve">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0E9F33BE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EE1FEF">
        <w:rPr>
          <w:rFonts w:asciiTheme="minorHAnsi" w:hAnsiTheme="minorHAnsi" w:cstheme="minorHAnsi"/>
        </w:rPr>
        <w:t>V roce 202</w:t>
      </w:r>
      <w:r w:rsidR="008647A7" w:rsidRPr="00EE1FEF">
        <w:rPr>
          <w:rFonts w:asciiTheme="minorHAnsi" w:hAnsiTheme="minorHAnsi" w:cstheme="minorHAnsi"/>
        </w:rPr>
        <w:t>4</w:t>
      </w:r>
      <w:r w:rsidR="009B26CB" w:rsidRPr="00EE1FEF">
        <w:rPr>
          <w:rFonts w:asciiTheme="minorHAnsi" w:hAnsiTheme="minorHAnsi" w:cstheme="minorHAnsi"/>
        </w:rPr>
        <w:t xml:space="preserve"> dosáhla Fakulta humanitních studií </w:t>
      </w:r>
      <w:r w:rsidR="0080083F" w:rsidRPr="00EE1FEF">
        <w:rPr>
          <w:rFonts w:asciiTheme="minorHAnsi" w:hAnsiTheme="minorHAnsi" w:cstheme="minorHAnsi"/>
        </w:rPr>
        <w:t xml:space="preserve">(FHS) </w:t>
      </w:r>
      <w:r w:rsidR="009B26CB" w:rsidRPr="00EE1FEF">
        <w:rPr>
          <w:rFonts w:asciiTheme="minorHAnsi" w:hAnsiTheme="minorHAnsi" w:cstheme="minorHAnsi"/>
        </w:rPr>
        <w:t xml:space="preserve">kladného hospodářského výsledku ve výši </w:t>
      </w:r>
      <w:r w:rsidR="006C4919" w:rsidRPr="00EE1FEF">
        <w:rPr>
          <w:rFonts w:asciiTheme="minorHAnsi" w:hAnsiTheme="minorHAnsi" w:cstheme="minorHAnsi"/>
        </w:rPr>
        <w:t xml:space="preserve">1 </w:t>
      </w:r>
      <w:r w:rsidR="00EE1FEF" w:rsidRPr="00EE1FEF">
        <w:rPr>
          <w:rFonts w:asciiTheme="minorHAnsi" w:hAnsiTheme="minorHAnsi" w:cstheme="minorHAnsi"/>
        </w:rPr>
        <w:t>412</w:t>
      </w:r>
      <w:r w:rsidR="009B26CB" w:rsidRPr="00EE1FEF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EE1FEF">
        <w:rPr>
          <w:rFonts w:asciiTheme="minorHAnsi" w:hAnsiTheme="minorHAnsi" w:cstheme="minorHAnsi"/>
        </w:rPr>
        <w:t>1 </w:t>
      </w:r>
      <w:r w:rsidR="00EE1FEF" w:rsidRPr="00EE1FEF">
        <w:rPr>
          <w:rFonts w:asciiTheme="minorHAnsi" w:hAnsiTheme="minorHAnsi" w:cstheme="minorHAnsi"/>
        </w:rPr>
        <w:t>381</w:t>
      </w:r>
      <w:r w:rsidR="009B26CB" w:rsidRPr="00EE1FEF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EE1FEF" w:rsidRPr="00EE1FEF">
        <w:rPr>
          <w:rFonts w:asciiTheme="minorHAnsi" w:hAnsiTheme="minorHAnsi" w:cstheme="minorHAnsi"/>
        </w:rPr>
        <w:t>31</w:t>
      </w:r>
      <w:r w:rsidR="009B26CB" w:rsidRPr="00EE1FEF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98151777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500F2728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647A7">
        <w:rPr>
          <w:rFonts w:asciiTheme="minorHAnsi" w:hAnsiTheme="minorHAnsi" w:cstheme="minorHAnsi"/>
        </w:rPr>
        <w:t xml:space="preserve"> FHS v roce 2024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7B3D538" w14:textId="43A3773B" w:rsidR="00B66446" w:rsidRDefault="00B66446" w:rsidP="00163664">
      <w:pPr>
        <w:ind w:left="0" w:firstLine="0"/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98151778"/>
      <w:r w:rsidRPr="00FE4EB8">
        <w:rPr>
          <w:rFonts w:asciiTheme="minorHAnsi" w:hAnsiTheme="minorHAnsi" w:cstheme="minorHAnsi"/>
        </w:rPr>
        <w:lastRenderedPageBreak/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C30130C" w:rsidR="00E937C8" w:rsidRPr="00FE4EB8" w:rsidRDefault="006540A3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92397D">
              <w:rPr>
                <w:rFonts w:asciiTheme="minorHAnsi" w:hAnsiTheme="minorHAnsi" w:cstheme="minorHAnsi"/>
              </w:rPr>
              <w:t>116 265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A0BEA02" w:rsidR="00E937C8" w:rsidRPr="00FE4EB8" w:rsidRDefault="00B77A3F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</w:t>
            </w:r>
            <w:r w:rsidR="0092397D">
              <w:rPr>
                <w:rFonts w:asciiTheme="minorHAnsi" w:hAnsiTheme="minorHAnsi" w:cstheme="minorHAnsi"/>
              </w:rPr>
              <w:t>19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050212AB" w:rsidR="00D87CF6" w:rsidRPr="00FE4EB8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Dotace Zlínského kraje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32C16965" w:rsidR="00D87CF6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46F01CE3" w:rsidR="00D87CF6" w:rsidRPr="00944485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 podporu strategického řízení vysokých škol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3606C5B0" w:rsidR="00D87CF6" w:rsidRPr="00944485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7CB1331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4714D781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</w:t>
            </w:r>
            <w:r w:rsidR="0092397D">
              <w:rPr>
                <w:rFonts w:asciiTheme="minorHAnsi" w:hAnsiTheme="minorHAnsi" w:cstheme="minorHAnsi"/>
              </w:rPr>
              <w:t>GA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B4B1ED3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5793BB96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OP </w:t>
            </w:r>
            <w:r w:rsidR="0092397D"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7B17CB06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2 073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3136A4C0" w:rsidR="00D87CF6" w:rsidRPr="00FE4EB8" w:rsidRDefault="0092397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CAB20DD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</w:tr>
      <w:tr w:rsidR="006B3395" w:rsidRPr="00FE4EB8" w14:paraId="1398E76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A71075" w14:textId="3B62BAD2" w:rsidR="006B3395" w:rsidRPr="00944485" w:rsidRDefault="006B3395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Norské fondy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59E7" w14:textId="2D3E9944" w:rsidR="006B3395" w:rsidRDefault="006B3395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53826EE9" w:rsidR="00D87CF6" w:rsidRPr="00944485" w:rsidRDefault="006215C6" w:rsidP="006215C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Projekty </w:t>
            </w:r>
            <w:r w:rsidR="0091152F" w:rsidRPr="00FE4E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dary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3ED5CB4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241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45AD6999" w:rsidR="00D87CF6" w:rsidRPr="00317404" w:rsidRDefault="00D87CF6" w:rsidP="0018650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="0018650D">
              <w:rPr>
                <w:rFonts w:asciiTheme="minorHAnsi" w:hAnsiTheme="minorHAnsi" w:cstheme="minorHAnsi"/>
              </w:rPr>
              <w:t>258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5FEFCF1D" w:rsidR="00D87CF6" w:rsidRPr="00B77A3F" w:rsidRDefault="0092397D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23 144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6BC1ADB9" w:rsidR="00D87CF6" w:rsidRPr="00607B30" w:rsidRDefault="006B3395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120 196</w:t>
            </w:r>
          </w:p>
        </w:tc>
      </w:tr>
    </w:tbl>
    <w:p w14:paraId="771689E0" w14:textId="50B1FEEC" w:rsidR="00B66446" w:rsidRDefault="00900644" w:rsidP="0010478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98151779"/>
      <w:r w:rsidRPr="00FE4EB8">
        <w:rPr>
          <w:rFonts w:asciiTheme="minorHAnsi" w:hAnsiTheme="minorHAnsi" w:cstheme="minorHAnsi"/>
        </w:rPr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578D7ABA" w:rsidR="00A474FC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přijaté.</w:t>
      </w:r>
    </w:p>
    <w:p w14:paraId="69AA06FD" w14:textId="3ADAF472" w:rsidR="0010478A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7CE09FC3" w14:textId="505E00B0" w:rsidR="0010478A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414D3BBA" w14:textId="4AF9159A" w:rsidR="0010478A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50BE9647" w14:textId="3A97F9C2" w:rsidR="0010478A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73556AC1" w14:textId="2EED61CE" w:rsidR="0010478A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50FA5952" w14:textId="2F417748" w:rsidR="0010478A" w:rsidRPr="00FE4EB8" w:rsidRDefault="0010478A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6B3914">
      <w:pPr>
        <w:pStyle w:val="Nadpis3"/>
        <w:tabs>
          <w:tab w:val="left" w:pos="7655"/>
          <w:tab w:val="left" w:pos="7938"/>
        </w:tabs>
        <w:rPr>
          <w:rFonts w:asciiTheme="minorHAnsi" w:hAnsiTheme="minorHAnsi" w:cstheme="minorHAnsi"/>
        </w:rPr>
      </w:pPr>
      <w:bookmarkStart w:id="4" w:name="_Toc198151780"/>
      <w:r w:rsidRPr="00FE4EB8">
        <w:rPr>
          <w:rFonts w:asciiTheme="minorHAnsi" w:hAnsiTheme="minorHAnsi" w:cstheme="minorHAnsi"/>
        </w:rPr>
        <w:lastRenderedPageBreak/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6C9CDB13" w:rsidR="000A5063" w:rsidRPr="00FE4EB8" w:rsidRDefault="003A3E34" w:rsidP="006B3914">
      <w:pPr>
        <w:tabs>
          <w:tab w:val="left" w:pos="7938"/>
        </w:tabs>
        <w:spacing w:after="3" w:line="264" w:lineRule="auto"/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5537F5AD" w:rsidR="00EF04D7" w:rsidRPr="00DC6A0F" w:rsidRDefault="007C608D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5ED8D3AC" w:rsidR="007C608D" w:rsidRPr="00980431" w:rsidRDefault="007C608D" w:rsidP="007C608D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 xml:space="preserve">doc. Mgr. Jakub Hladík, </w:t>
            </w:r>
            <w:proofErr w:type="gramStart"/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Julie </w:t>
            </w:r>
            <w:proofErr w:type="spellStart"/>
            <w:r>
              <w:rPr>
                <w:rFonts w:asciiTheme="minorHAnsi" w:hAnsiTheme="minorHAnsi" w:cstheme="minorHAnsi"/>
                <w:spacing w:val="-1"/>
                <w:szCs w:val="24"/>
              </w:rPr>
              <w:t>Junaštíková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150188CD" w:rsidR="007C608D" w:rsidRPr="00C42E1A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30B772D0" w:rsidR="007C608D" w:rsidRPr="00C42E1A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</w:tr>
      <w:tr w:rsidR="007C608D" w:rsidRPr="00FE4EB8" w14:paraId="01FCEBA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E0B" w14:textId="7E66469C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1FB" w14:textId="34AFC12A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6B0" w14:textId="3F3D67EB" w:rsidR="007C608D" w:rsidRPr="00C42E1A" w:rsidRDefault="007C608D" w:rsidP="007C608D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 xml:space="preserve">Mgr. Tomáš </w:t>
            </w:r>
            <w:proofErr w:type="spellStart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Karger</w:t>
            </w:r>
            <w:proofErr w:type="spellEnd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 xml:space="preserve">, </w:t>
            </w:r>
            <w:proofErr w:type="gramStart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Jan Klokočka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2DF" w14:textId="7A970AB6" w:rsidR="007C608D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F30D" w14:textId="2DEF900D" w:rsidR="007C608D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</w:tr>
      <w:tr w:rsidR="00F073B6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F073B6" w:rsidRPr="00980431" w:rsidRDefault="00F073B6" w:rsidP="00F073B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53E9447" w:rsidR="00F073B6" w:rsidRPr="00980431" w:rsidRDefault="00F073B6" w:rsidP="00F073B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21736F93" w:rsidR="00F073B6" w:rsidRPr="00980431" w:rsidRDefault="00F073B6" w:rsidP="00F073B6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</w:tr>
    </w:tbl>
    <w:p w14:paraId="0E73A69F" w14:textId="2C90DA3D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198151781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588D6089" w:rsidR="00A842F3" w:rsidRPr="00813313" w:rsidRDefault="009A4650" w:rsidP="006B3914">
      <w:pPr>
        <w:tabs>
          <w:tab w:val="left" w:pos="7938"/>
          <w:tab w:val="left" w:pos="8080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F60097" w:rsidRPr="00813313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 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1C87492" w:rsidR="00EF04D7" w:rsidRPr="00DE0B49" w:rsidRDefault="007C608D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  <w:r w:rsidRPr="00DE0B49" w:rsidDel="007C60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DE8D10F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FB4A9F4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Pedagogické aspekty akademického stresu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722CC27A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 xml:space="preserve">doc. Mgr. Jakub Hladík, </w:t>
            </w:r>
            <w:proofErr w:type="gramStart"/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Jana Martincová,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37727A9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693BC1D2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</w:tr>
      <w:tr w:rsidR="007C608D" w:rsidRPr="00DE0B49" w14:paraId="14893CA6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D23" w14:textId="07CAD269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0413" w14:textId="1BB1CCCF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Motivace k účasti na vzdělávání a školení dospělých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14C2" w14:textId="083BE40D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 xml:space="preserve">Mgr. Tomáš </w:t>
            </w:r>
            <w:proofErr w:type="spellStart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Karger</w:t>
            </w:r>
            <w:proofErr w:type="spellEnd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 xml:space="preserve">, </w:t>
            </w:r>
            <w:proofErr w:type="gramStart"/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Michaela Bílá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37BB" w14:textId="0BF67667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F84B" w14:textId="3BBAE6AB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</w:tr>
      <w:tr w:rsidR="007C608D" w:rsidRPr="00DE0B49" w14:paraId="4A7DD404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D14" w14:textId="3A8305F8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F12" w14:textId="55CAB5E5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Protektivní faktory studentské angažovanosti žáků základních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9854" w14:textId="7CA88103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 xml:space="preserve">doc. Mgr. Jakub Hladík, </w:t>
            </w:r>
            <w:proofErr w:type="gramStart"/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Patrik Buček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B2D8" w14:textId="0168798C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EA9F" w14:textId="6C603F44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133</w:t>
            </w:r>
          </w:p>
        </w:tc>
      </w:tr>
      <w:tr w:rsidR="007C608D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361274C7" w:rsidR="007C608D" w:rsidRPr="0098043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62DFE06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Spirituální gramotnost v </w:t>
            </w:r>
            <w:proofErr w:type="spellStart"/>
            <w:r>
              <w:rPr>
                <w:rFonts w:asciiTheme="minorHAnsi" w:hAnsiTheme="minorHAnsi" w:cstheme="minorHAnsi"/>
                <w:spacing w:val="-1"/>
                <w:szCs w:val="24"/>
              </w:rPr>
              <w:t>preprimárním</w:t>
            </w:r>
            <w:proofErr w:type="spell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vzdělávání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676A5C6E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doc. PhDr. Marcela Janíková, </w:t>
            </w:r>
            <w:proofErr w:type="gramStart"/>
            <w:r>
              <w:rPr>
                <w:rFonts w:asciiTheme="minorHAnsi" w:hAnsiTheme="minorHAnsi" w:cstheme="minorHAnsi"/>
              </w:rPr>
              <w:t>Ph.D./Mgr.</w:t>
            </w:r>
            <w:proofErr w:type="gramEnd"/>
            <w:r>
              <w:rPr>
                <w:rFonts w:asciiTheme="minorHAnsi" w:hAnsiTheme="minorHAnsi" w:cstheme="minorHAnsi"/>
              </w:rPr>
              <w:t xml:space="preserve"> Jitka </w:t>
            </w:r>
            <w:proofErr w:type="spellStart"/>
            <w:r>
              <w:rPr>
                <w:rFonts w:asciiTheme="minorHAnsi" w:hAnsiTheme="minorHAnsi" w:cstheme="minorHAnsi"/>
              </w:rPr>
              <w:t>Patakiová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0844116E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3F0CA6E1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3339DB5" w:rsidR="00D366E9" w:rsidRPr="00980431" w:rsidRDefault="003A226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0D3EDC1" w:rsidR="00D366E9" w:rsidRPr="00980431" w:rsidRDefault="003A226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</w:tr>
    </w:tbl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54CB90" w14:textId="698AF899" w:rsidR="00D773D1" w:rsidRDefault="00D773D1" w:rsidP="009879C4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363560F" w14:textId="221BB471" w:rsidR="00465FEB" w:rsidRPr="009879C4" w:rsidRDefault="00F77F8D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6" w:name="_Toc198151782"/>
      <w:r w:rsidRPr="009879C4">
        <w:rPr>
          <w:rFonts w:asciiTheme="minorHAnsi" w:hAnsiTheme="minorHAnsi" w:cstheme="minorHAnsi"/>
        </w:rPr>
        <w:lastRenderedPageBreak/>
        <w:t>Program na podporu strategického řízení vysokých škol</w:t>
      </w:r>
      <w:bookmarkEnd w:id="6"/>
    </w:p>
    <w:p w14:paraId="04E95D5D" w14:textId="42BD52B1" w:rsidR="00465FEB" w:rsidRPr="00813313" w:rsidRDefault="00032D1A" w:rsidP="006B3914">
      <w:pPr>
        <w:spacing w:after="3" w:line="264" w:lineRule="auto"/>
        <w:ind w:left="21" w:right="3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7668CA0A" w:rsidR="00972A2C" w:rsidRPr="00DC6A0F" w:rsidRDefault="007C608D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4D20AAC2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Mgr. Eva Klimecká, Ph.D.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2D1BD8EC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CB7F36">
              <w:rPr>
                <w:rFonts w:asciiTheme="minorHAnsi" w:hAnsiTheme="minorHAnsi" w:cstheme="minorHAnsi"/>
              </w:rPr>
              <w:t>Karger</w:t>
            </w:r>
            <w:proofErr w:type="spellEnd"/>
            <w:r w:rsidRPr="00CB7F36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CB7F36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/Mgr.</w:t>
            </w:r>
            <w:proofErr w:type="gramEnd"/>
            <w:r>
              <w:rPr>
                <w:rFonts w:asciiTheme="minorHAnsi" w:hAnsiTheme="minorHAnsi" w:cstheme="minorHAnsi"/>
              </w:rPr>
              <w:t xml:space="preserve"> Eva </w:t>
            </w:r>
            <w:proofErr w:type="spellStart"/>
            <w:r>
              <w:rPr>
                <w:rFonts w:asciiTheme="minorHAnsi" w:hAnsiTheme="minorHAnsi" w:cstheme="minorHAnsi"/>
              </w:rPr>
              <w:t>Klimecká</w:t>
            </w:r>
            <w:proofErr w:type="spellEnd"/>
            <w:r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B886396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296720EB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156*</w:t>
            </w:r>
          </w:p>
        </w:tc>
      </w:tr>
      <w:tr w:rsidR="007C608D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3528088F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205D8FCE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CB7F36">
              <w:rPr>
                <w:rFonts w:asciiTheme="minorHAnsi" w:hAnsiTheme="minorHAnsi" w:cstheme="minorHAnsi"/>
              </w:rPr>
              <w:t>Karger</w:t>
            </w:r>
            <w:proofErr w:type="spellEnd"/>
            <w:r w:rsidRPr="00CB7F36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CB7F36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/doc.</w:t>
            </w:r>
            <w:proofErr w:type="gramEnd"/>
            <w:r>
              <w:rPr>
                <w:rFonts w:asciiTheme="minorHAnsi" w:hAnsiTheme="minorHAnsi" w:cstheme="minorHAnsi"/>
              </w:rPr>
              <w:t xml:space="preserve"> Mgr. Jan Kalenda,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D5DADBE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2FF7269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</w:t>
            </w:r>
          </w:p>
        </w:tc>
      </w:tr>
      <w:tr w:rsidR="007C608D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3AB38EE3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5712F35E" w:rsidR="007C608D" w:rsidRPr="00CB4D7E" w:rsidRDefault="000036C8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>
              <w:rPr>
                <w:rFonts w:asciiTheme="minorHAnsi" w:hAnsiTheme="minorHAnsi" w:cstheme="minorHAnsi"/>
              </w:rPr>
              <w:t>Karger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</w:rPr>
              <w:t>Ph.D</w:t>
            </w:r>
            <w:r w:rsidR="007C608D" w:rsidRPr="00CB7F36">
              <w:rPr>
                <w:rFonts w:asciiTheme="minorHAnsi" w:hAnsiTheme="minorHAnsi" w:cstheme="minorHAnsi"/>
              </w:rPr>
              <w:t>.</w:t>
            </w:r>
            <w:r w:rsidR="007C608D">
              <w:rPr>
                <w:rFonts w:asciiTheme="minorHAnsi" w:hAnsiTheme="minorHAnsi" w:cstheme="minorHAnsi"/>
              </w:rPr>
              <w:t>/doc.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Mgr. Jan Kalenda,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4DCC7332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34C12AF9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</w:t>
            </w:r>
          </w:p>
        </w:tc>
      </w:tr>
      <w:tr w:rsidR="007C608D" w:rsidRPr="00FE4EB8" w14:paraId="38FB69E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2DD3" w14:textId="4DE5B816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Mobilita </w:t>
            </w:r>
            <w:proofErr w:type="spellStart"/>
            <w:r>
              <w:rPr>
                <w:rFonts w:asciiTheme="minorHAnsi" w:hAnsiTheme="minorHAnsi" w:cstheme="minorHAnsi"/>
              </w:rPr>
              <w:t>Universität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>
              <w:rPr>
                <w:rFonts w:asciiTheme="minorHAnsi" w:hAnsiTheme="minorHAnsi" w:cstheme="minorHAnsi"/>
              </w:rPr>
              <w:t>, Rakousko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C5D" w14:textId="23108CA7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Mgr. Roman </w:t>
            </w:r>
            <w:proofErr w:type="spellStart"/>
            <w:r w:rsidRPr="00582923">
              <w:rPr>
                <w:rFonts w:asciiTheme="minorHAnsi" w:hAnsiTheme="minorHAnsi" w:cstheme="minorHAnsi"/>
              </w:rPr>
              <w:t>Trušník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/Mgr.</w:t>
            </w:r>
            <w:proofErr w:type="gramEnd"/>
            <w:r>
              <w:rPr>
                <w:rFonts w:asciiTheme="minorHAnsi" w:hAnsiTheme="minorHAnsi" w:cstheme="minorHAnsi"/>
              </w:rPr>
              <w:t xml:space="preserve"> Petra </w:t>
            </w:r>
            <w:proofErr w:type="spellStart"/>
            <w:r>
              <w:rPr>
                <w:rFonts w:asciiTheme="minorHAnsi" w:hAnsiTheme="minorHAnsi" w:cstheme="minorHAnsi"/>
              </w:rPr>
              <w:t>Bačuvčíková</w:t>
            </w:r>
            <w:proofErr w:type="spellEnd"/>
            <w:r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4EB" w14:textId="62AF5443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69A2" w14:textId="76478090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7C608D" w:rsidRPr="00FE4EB8" w14:paraId="40D8464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2A25" w14:textId="00D3FCDC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Mobilita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Turku, Finsko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6E7C" w14:textId="4CF0AB7F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 xml:space="preserve">doc. Mgr. Jakub Hladík, </w:t>
            </w:r>
            <w:proofErr w:type="gramStart"/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Ph.D.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/Mgr.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Denisa </w:t>
            </w:r>
            <w:proofErr w:type="spellStart"/>
            <w:r>
              <w:rPr>
                <w:rFonts w:asciiTheme="minorHAnsi" w:hAnsiTheme="minorHAnsi" w:cstheme="minorHAnsi"/>
                <w:spacing w:val="-1"/>
                <w:szCs w:val="24"/>
              </w:rPr>
              <w:t>Denglerová</w:t>
            </w:r>
            <w:proofErr w:type="spellEnd"/>
            <w:r>
              <w:rPr>
                <w:rFonts w:asciiTheme="minorHAnsi" w:hAnsiTheme="minorHAnsi" w:cstheme="minorHAnsi"/>
                <w:spacing w:val="-1"/>
                <w:szCs w:val="24"/>
              </w:rPr>
              <w:t>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8DB" w14:textId="3E3AF57F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8349" w14:textId="5EF986C2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7C608D" w:rsidRPr="00FE4EB8" w14:paraId="7B9A766E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2011" w14:textId="06462235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Výjezd – Mobilita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04D1" w14:textId="47F01641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CB7F36">
              <w:rPr>
                <w:rFonts w:asciiTheme="minorHAnsi" w:hAnsiTheme="minorHAnsi" w:cstheme="minorHAnsi"/>
              </w:rPr>
              <w:t>Karger</w:t>
            </w:r>
            <w:proofErr w:type="spellEnd"/>
            <w:r w:rsidRPr="00CB7F36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CB7F36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 doc.</w:t>
            </w:r>
            <w:proofErr w:type="gramEnd"/>
            <w:r>
              <w:rPr>
                <w:rFonts w:asciiTheme="minorHAnsi" w:hAnsiTheme="minorHAnsi" w:cstheme="minorHAnsi"/>
              </w:rPr>
              <w:t xml:space="preserve"> Mgr. Jan Kalenda,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9B31" w14:textId="794783A9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9BC4" w14:textId="5D32C159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95****</w:t>
            </w:r>
          </w:p>
        </w:tc>
      </w:tr>
      <w:tr w:rsidR="007C608D" w:rsidRPr="00FE4EB8" w14:paraId="263ABC3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3F35" w14:textId="7004B988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pedagogické kompetence u začínajících akademických pracovníků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A613" w14:textId="6092A3C3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Jana Martincová,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0E3A" w14:textId="1F400FEF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B37E" w14:textId="64EE2FAD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</w:tr>
      <w:tr w:rsidR="007C608D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06A59182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studijní úspěšnost na všech úrovních studia a vytvářet podmínky pro flexibilitu studia vzhledem k individuálním potřebám studentů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74A15C1C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Mgr.</w:t>
            </w:r>
            <w:proofErr w:type="gram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Jana Martincová,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4D14C19D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64F09C72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EFF9F43" w:rsidR="00F47A5A" w:rsidRPr="00820CF0" w:rsidRDefault="00387525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0528D4DD" w:rsidR="00F47A5A" w:rsidRPr="00820CF0" w:rsidRDefault="00387525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</w:tr>
    </w:tbl>
    <w:p w14:paraId="62560B77" w14:textId="5C56AB73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186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0AC597" w14:textId="719A5E6E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403569D" w14:textId="4A373DF1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1BEB31" w14:textId="5159299A" w:rsidR="00B75BCA" w:rsidRDefault="00EA0EFF" w:rsidP="009879C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125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F93C0AB" w14:textId="3F22B41A" w:rsidR="009879C4" w:rsidRDefault="009879C4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98151783"/>
      <w:r w:rsidRPr="00382630">
        <w:rPr>
          <w:rFonts w:asciiTheme="minorHAnsi" w:hAnsiTheme="minorHAnsi" w:cstheme="minorHAnsi"/>
        </w:rPr>
        <w:t>Fond strategického rozvoje</w:t>
      </w:r>
      <w:bookmarkEnd w:id="7"/>
    </w:p>
    <w:p w14:paraId="665442EF" w14:textId="5C6014C5" w:rsidR="00382630" w:rsidRDefault="00382630" w:rsidP="00382630"/>
    <w:p w14:paraId="4AA6129A" w14:textId="515C6A26" w:rsidR="00163664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671293A1" w14:textId="77777777" w:rsidR="0010478A" w:rsidRDefault="0010478A" w:rsidP="00382630">
      <w:pPr>
        <w:rPr>
          <w:rFonts w:asciiTheme="minorHAnsi" w:hAnsiTheme="minorHAnsi" w:cstheme="minorHAnsi"/>
        </w:rPr>
      </w:pPr>
    </w:p>
    <w:p w14:paraId="68DAB19B" w14:textId="77777777" w:rsidR="000D08D4" w:rsidRDefault="00585ECF" w:rsidP="006B3914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4E9F5796" w14:textId="396EC079" w:rsidR="00F15335" w:rsidRDefault="00032D1A" w:rsidP="006B3914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     </w:t>
      </w:r>
      <w:r w:rsidR="00585ECF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 </w:t>
      </w:r>
      <w:r w:rsidR="00F15335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6D578A11" w:rsidR="00F15335" w:rsidRPr="007F03CD" w:rsidRDefault="007C608D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745F6C6E" w:rsidR="00854324" w:rsidRPr="008A6EDA" w:rsidRDefault="00854324" w:rsidP="009879C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 xml:space="preserve">FSR </w:t>
            </w:r>
            <w:r w:rsidR="009879C4">
              <w:rPr>
                <w:rFonts w:asciiTheme="minorHAnsi" w:hAnsiTheme="minorHAnsi" w:cstheme="minorHAnsi"/>
              </w:rPr>
              <w:t xml:space="preserve">2024 FHS/001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31BCF809" w:rsidR="00854324" w:rsidRPr="008A6EDA" w:rsidRDefault="009879C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Rozvoj FHS jako regionálního garanta v oblasti edukace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52589D98" w:rsidR="00854324" w:rsidRPr="008A6EDA" w:rsidRDefault="007C608D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7D155EA6" w:rsidR="00854324" w:rsidRPr="00FE4EB8" w:rsidRDefault="009879C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4D27DAE5" w:rsidR="00854324" w:rsidRPr="00FE4EB8" w:rsidRDefault="009879C4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BA0CA61" w:rsidR="00F15335" w:rsidRPr="00FE4EB8" w:rsidRDefault="009879C4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924422F" w:rsidR="00F15335" w:rsidRPr="00FE4EB8" w:rsidRDefault="009879C4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8" w:name="_Toc198151784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8"/>
    </w:p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Interní projekty</w:t>
      </w:r>
    </w:p>
    <w:p w14:paraId="4CB558BB" w14:textId="7D3F6C6A" w:rsidR="00060CB7" w:rsidRPr="00060CB7" w:rsidRDefault="002C3940" w:rsidP="006B3914">
      <w:pPr>
        <w:tabs>
          <w:tab w:val="left" w:pos="7938"/>
          <w:tab w:val="left" w:pos="8080"/>
        </w:tabs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09"/>
        <w:gridCol w:w="2821"/>
        <w:gridCol w:w="2540"/>
        <w:gridCol w:w="1290"/>
        <w:gridCol w:w="946"/>
      </w:tblGrid>
      <w:tr w:rsidR="00060CB7" w:rsidRPr="00D04A38" w14:paraId="188905AC" w14:textId="77777777" w:rsidTr="0010478A">
        <w:trPr>
          <w:trHeight w:val="47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2CA2ADF5" w:rsidR="00060CB7" w:rsidRPr="007F03CD" w:rsidRDefault="007C608D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405B79DA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6577A776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16A22496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Mgr. Jakub Hladík,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doc.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Mgr. Jakub Hladík, Ph.D.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2FDA57DA" w:rsidR="007C608D" w:rsidRPr="00FE4EB8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44123055" w:rsidR="007C608D" w:rsidRPr="00FE4EB8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1 615</w:t>
            </w:r>
          </w:p>
        </w:tc>
      </w:tr>
      <w:tr w:rsidR="007C608D" w:rsidRPr="00FE4EB8" w14:paraId="071690CE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7F9305B4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65623AB3" w:rsidR="007C608D" w:rsidRPr="008978C9" w:rsidRDefault="007C608D" w:rsidP="00585EC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PhDr. Marcela Janíková,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doc.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PhDr. Marcela Janíková, Ph.D.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39ECEDEF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3BFB26B0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873</w:t>
            </w:r>
          </w:p>
        </w:tc>
      </w:tr>
      <w:tr w:rsidR="007C608D" w:rsidRPr="00FE4EB8" w14:paraId="4BC13CAE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1A096162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42085133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Mgr. Roman </w:t>
            </w:r>
            <w:proofErr w:type="spellStart"/>
            <w:r w:rsidRPr="00582923">
              <w:rPr>
                <w:rFonts w:asciiTheme="minorHAnsi" w:hAnsiTheme="minorHAnsi" w:cstheme="minorHAnsi"/>
              </w:rPr>
              <w:t>Trušník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doc.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Mgr. Roman </w:t>
            </w:r>
            <w:proofErr w:type="spellStart"/>
            <w:r w:rsidRPr="00582923">
              <w:rPr>
                <w:rFonts w:asciiTheme="minorHAnsi" w:hAnsiTheme="minorHAnsi" w:cstheme="minorHAnsi"/>
              </w:rPr>
              <w:t>Trušník</w:t>
            </w:r>
            <w:proofErr w:type="spellEnd"/>
            <w:r w:rsidRPr="00582923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240E716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030D716F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995</w:t>
            </w:r>
          </w:p>
        </w:tc>
      </w:tr>
      <w:tr w:rsidR="007C608D" w:rsidRPr="00FE4EB8" w14:paraId="1667AE36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020318B0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6625575F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</w:t>
            </w:r>
            <w:r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276C9FDA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323AE3D6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</w:t>
            </w:r>
          </w:p>
        </w:tc>
      </w:tr>
      <w:tr w:rsidR="007C608D" w:rsidRPr="00FE4EB8" w14:paraId="26AA3825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6B7" w14:textId="208BA58E" w:rsidR="007C608D" w:rsidRPr="00582923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RO60241011025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494F" w14:textId="5F12DFE7" w:rsidR="007C608D" w:rsidRPr="00093E1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Národní systémy vzdělávání dospělých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278" w14:textId="2B002A7C" w:rsidR="007C608D" w:rsidRPr="00093E1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093E18">
              <w:rPr>
                <w:rFonts w:asciiTheme="minorHAnsi" w:hAnsiTheme="minorHAnsi" w:cstheme="minorHAnsi"/>
              </w:rPr>
              <w:t>Karger</w:t>
            </w:r>
            <w:proofErr w:type="spellEnd"/>
            <w:r w:rsidRPr="00093E18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093E18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093E18">
              <w:rPr>
                <w:rFonts w:asciiTheme="minorHAnsi" w:hAnsiTheme="minorHAnsi" w:cstheme="minorHAnsi"/>
              </w:rPr>
              <w:t>Mgr.</w:t>
            </w:r>
            <w:proofErr w:type="gramEnd"/>
            <w:r w:rsidRPr="00093E18">
              <w:rPr>
                <w:rFonts w:asciiTheme="minorHAnsi" w:hAnsiTheme="minorHAnsi" w:cstheme="minorHAnsi"/>
              </w:rPr>
              <w:t xml:space="preserve"> Tomáš </w:t>
            </w:r>
            <w:proofErr w:type="spellStart"/>
            <w:r w:rsidRPr="00093E18">
              <w:rPr>
                <w:rFonts w:asciiTheme="minorHAnsi" w:hAnsiTheme="minorHAnsi" w:cstheme="minorHAnsi"/>
              </w:rPr>
              <w:t>Karger</w:t>
            </w:r>
            <w:proofErr w:type="spellEnd"/>
            <w:r w:rsidRPr="00093E18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7D55" w14:textId="5B36A3A6" w:rsidR="007C608D" w:rsidRPr="00093E18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1 958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38B" w14:textId="63DDD24E" w:rsidR="007C608D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1 929</w:t>
            </w:r>
          </w:p>
        </w:tc>
      </w:tr>
      <w:tr w:rsidR="007C608D" w:rsidRPr="00FE4EB8" w14:paraId="33277E95" w14:textId="77777777" w:rsidTr="0010478A">
        <w:trPr>
          <w:trHeight w:val="89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517B6464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RO60241012</w:t>
            </w:r>
            <w:r w:rsidRPr="00582923">
              <w:rPr>
                <w:rFonts w:asciiTheme="minorHAnsi" w:hAnsiTheme="minorHAnsi" w:cstheme="minorHAnsi"/>
              </w:rPr>
              <w:t>025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4B4929F1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099F81AF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 xml:space="preserve"> 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6B08E18F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12E04C5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</w:t>
            </w:r>
          </w:p>
        </w:tc>
      </w:tr>
      <w:tr w:rsidR="00060CB7" w:rsidRPr="00FE4EB8" w14:paraId="5D80A6C4" w14:textId="77777777" w:rsidTr="0010478A">
        <w:trPr>
          <w:trHeight w:val="13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1E16C7A4" w:rsidR="00060CB7" w:rsidRPr="00FE4EB8" w:rsidRDefault="009879C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4 960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0216E854" w:rsidR="00060CB7" w:rsidRPr="00FE4EB8" w:rsidRDefault="009879C4" w:rsidP="00093E1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5 9</w:t>
            </w:r>
            <w:r w:rsidR="00093E18">
              <w:rPr>
                <w:rFonts w:asciiTheme="minorHAnsi" w:hAnsiTheme="minorHAnsi" w:cstheme="minorHAnsi"/>
                <w:b/>
              </w:rPr>
              <w:t>72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1EC24A38" w14:textId="4D57851D" w:rsidR="00582923" w:rsidRDefault="002C3940" w:rsidP="00060CB7"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473EBAFE" w:rsidR="006970F8" w:rsidRPr="007F03CD" w:rsidRDefault="007C608D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4C987762" w:rsidR="006970F8" w:rsidRPr="00FE4EB8" w:rsidRDefault="007C608D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33ED6A4E" w:rsidR="006970F8" w:rsidRPr="00FE4EB8" w:rsidRDefault="00093E1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216D9FA7" w:rsidR="006970F8" w:rsidRPr="00FE4EB8" w:rsidRDefault="006970F8" w:rsidP="00093E1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 w:rsidR="00093E18">
              <w:rPr>
                <w:rFonts w:asciiTheme="minorHAnsi" w:hAnsiTheme="minorHAnsi" w:cstheme="minorHAnsi"/>
              </w:rPr>
              <w:t>648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098EB331" w:rsidR="006970F8" w:rsidRPr="00FE4EB8" w:rsidRDefault="00093E1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CD1A713" w:rsidR="006970F8" w:rsidRPr="00FE4EB8" w:rsidRDefault="00093E1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4 648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9" w:name="_Toc198151785"/>
      <w:r>
        <w:rPr>
          <w:rFonts w:asciiTheme="minorHAnsi" w:hAnsiTheme="minorHAnsi" w:cstheme="minorHAnsi"/>
        </w:rPr>
        <w:t>Ukazatel P</w:t>
      </w:r>
      <w:bookmarkEnd w:id="9"/>
    </w:p>
    <w:p w14:paraId="18FD9DDB" w14:textId="77777777" w:rsidR="00B75BCA" w:rsidRDefault="00B75BCA" w:rsidP="00B75BCA"/>
    <w:p w14:paraId="549D8E8F" w14:textId="7367A250" w:rsidR="00B75BCA" w:rsidRPr="00FA2B1C" w:rsidRDefault="002C3940" w:rsidP="006B39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</w:t>
      </w:r>
      <w:r w:rsidR="0010478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="00B75BCA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1028C259" w:rsidR="00B75BCA" w:rsidRPr="00E5106A" w:rsidRDefault="007C608D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06B47859" w:rsidR="00B75BCA" w:rsidRPr="00FA2B1C" w:rsidRDefault="007C608D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58C89549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4E7C9285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3302663A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4943D460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0" w:name="_Toc198151786"/>
      <w:r w:rsidRPr="009E4614">
        <w:rPr>
          <w:rFonts w:asciiTheme="minorHAnsi" w:hAnsiTheme="minorHAnsi" w:cstheme="minorHAnsi"/>
        </w:rPr>
        <w:t>Přehled projektových dotací</w:t>
      </w:r>
      <w:bookmarkEnd w:id="10"/>
    </w:p>
    <w:p w14:paraId="3ED0AE0D" w14:textId="52D1AED0" w:rsidR="00421D01" w:rsidRDefault="00450B7F" w:rsidP="00F746FC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0571E509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1" w:name="_Toc198151787"/>
      <w:r w:rsidRPr="008A6EDA">
        <w:rPr>
          <w:rFonts w:asciiTheme="minorHAnsi" w:hAnsiTheme="minorHAnsi" w:cstheme="minorHAnsi"/>
        </w:rPr>
        <w:t xml:space="preserve">Projekt </w:t>
      </w:r>
      <w:r w:rsidR="00F746FC">
        <w:rPr>
          <w:rFonts w:asciiTheme="minorHAnsi" w:hAnsiTheme="minorHAnsi" w:cstheme="minorHAnsi"/>
        </w:rPr>
        <w:t>G</w:t>
      </w:r>
      <w:r w:rsidR="006B3395">
        <w:rPr>
          <w:rFonts w:asciiTheme="minorHAnsi" w:hAnsiTheme="minorHAnsi" w:cstheme="minorHAnsi"/>
        </w:rPr>
        <w:t>rantové agentury</w:t>
      </w:r>
      <w:r w:rsidR="00F746FC">
        <w:rPr>
          <w:rFonts w:asciiTheme="minorHAnsi" w:hAnsiTheme="minorHAnsi" w:cstheme="minorHAnsi"/>
        </w:rPr>
        <w:t xml:space="preserve"> ČR</w:t>
      </w:r>
      <w:bookmarkEnd w:id="11"/>
    </w:p>
    <w:p w14:paraId="2D53FF15" w14:textId="614C8C64" w:rsidR="008A6EDA" w:rsidRPr="00E7383D" w:rsidRDefault="002202FA" w:rsidP="006B3914">
      <w:pPr>
        <w:tabs>
          <w:tab w:val="left" w:pos="7938"/>
        </w:tabs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="00F15335"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6B3914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5479A1A8" w:rsidR="008A6EDA" w:rsidRPr="007F03CD" w:rsidRDefault="007C608D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6B3914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62CF06BC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24-11912S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682B4211" w:rsidR="00B75BCA" w:rsidRPr="008A6EDA" w:rsidRDefault="00F746FC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Seberegulace digitálního chování dětí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10DE6BFB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Mgr. Jakub Hladík,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/Mgr.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Karla Hrbáčková,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1A00D349" w:rsidR="00B75BCA" w:rsidRDefault="00F746FC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6DFFF8FC" w:rsidR="00B75BCA" w:rsidRDefault="00F746FC" w:rsidP="00CD12B6">
            <w:pPr>
              <w:shd w:val="clear" w:color="auto" w:fill="FFFFFF"/>
              <w:ind w:right="-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8A6EDA" w:rsidRPr="00FE4EB8" w14:paraId="2B4BEBDC" w14:textId="77777777" w:rsidTr="006B3914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4E0CA95C" w:rsidR="008A6EDA" w:rsidRPr="00FE4EB8" w:rsidRDefault="00F746FC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32EB6B88" w:rsidR="008A6EDA" w:rsidRPr="00FE4EB8" w:rsidRDefault="00F746FC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</w:tr>
    </w:tbl>
    <w:p w14:paraId="634E328F" w14:textId="55BD2285" w:rsidR="00163664" w:rsidRDefault="00163664" w:rsidP="0010478A">
      <w:pPr>
        <w:tabs>
          <w:tab w:val="left" w:pos="1530"/>
        </w:tabs>
        <w:ind w:left="0" w:firstLine="0"/>
        <w:rPr>
          <w:rFonts w:asciiTheme="minorHAnsi" w:hAnsiTheme="minorHAnsi" w:cstheme="minorHAnsi"/>
          <w:sz w:val="20"/>
        </w:rPr>
      </w:pPr>
    </w:p>
    <w:p w14:paraId="107D8CC7" w14:textId="3B8E7ACC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409A90B" w14:textId="77777777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03E10F" w14:textId="77777777" w:rsidR="006B3395" w:rsidRPr="006B3395" w:rsidRDefault="006B3395" w:rsidP="006B3395">
      <w:pPr>
        <w:pStyle w:val="Nadpis3"/>
        <w:ind w:left="851" w:hanging="851"/>
        <w:rPr>
          <w:rFonts w:asciiTheme="minorHAnsi" w:hAnsiTheme="minorHAnsi" w:cstheme="minorHAnsi"/>
        </w:rPr>
      </w:pPr>
      <w:bookmarkStart w:id="12" w:name="_Toc177720722"/>
      <w:bookmarkStart w:id="13" w:name="_Toc198151788"/>
      <w:r w:rsidRPr="006B3395">
        <w:rPr>
          <w:rFonts w:asciiTheme="minorHAnsi" w:hAnsiTheme="minorHAnsi" w:cstheme="minorHAnsi"/>
        </w:rPr>
        <w:t>Norské fondy</w:t>
      </w:r>
      <w:bookmarkEnd w:id="12"/>
      <w:bookmarkEnd w:id="13"/>
    </w:p>
    <w:p w14:paraId="698BF864" w14:textId="66D989BC" w:rsidR="001708FD" w:rsidRPr="00672624" w:rsidRDefault="002202FA" w:rsidP="006B3914">
      <w:pPr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r w:rsidR="00672624"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1"/>
        <w:gridCol w:w="3127"/>
        <w:gridCol w:w="2561"/>
        <w:gridCol w:w="1279"/>
        <w:gridCol w:w="948"/>
      </w:tblGrid>
      <w:tr w:rsidR="00672624" w:rsidRPr="00DC6A0F" w14:paraId="43129A2A" w14:textId="77777777" w:rsidTr="006B3395">
        <w:trPr>
          <w:trHeight w:val="47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593B9421" w:rsidR="00672624" w:rsidRPr="007F03CD" w:rsidRDefault="007C608D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B3395" w:rsidRPr="00FE4EB8" w14:paraId="7569A7D0" w14:textId="77777777" w:rsidTr="006B3395">
        <w:trPr>
          <w:trHeight w:val="89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06F70284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EHP-BFNU-OVNKM-4-138-2024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CCD3" w14:textId="77777777" w:rsidR="006B3395" w:rsidRPr="006B3395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Czech-</w:t>
            </w:r>
            <w:proofErr w:type="spellStart"/>
            <w:r w:rsidRPr="006B3395">
              <w:rPr>
                <w:rFonts w:asciiTheme="minorHAnsi" w:hAnsiTheme="minorHAnsi" w:cstheme="minorHAnsi"/>
              </w:rPr>
              <w:t>Norwegian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Hub </w:t>
            </w:r>
            <w:proofErr w:type="spellStart"/>
            <w:r w:rsidRPr="006B3395">
              <w:rPr>
                <w:rFonts w:asciiTheme="minorHAnsi" w:hAnsiTheme="minorHAnsi" w:cstheme="minorHAnsi"/>
              </w:rPr>
              <w:t>for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the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Study and </w:t>
            </w:r>
            <w:proofErr w:type="spellStart"/>
            <w:r w:rsidRPr="006B3395">
              <w:rPr>
                <w:rFonts w:asciiTheme="minorHAnsi" w:hAnsiTheme="minorHAnsi" w:cstheme="minorHAnsi"/>
              </w:rPr>
              <w:t>Prevention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of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Inequalities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in</w:t>
            </w:r>
          </w:p>
          <w:p w14:paraId="134E9D0A" w14:textId="24C480B6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6B3395">
              <w:rPr>
                <w:rFonts w:asciiTheme="minorHAnsi" w:hAnsiTheme="minorHAnsi" w:cstheme="minorHAnsi"/>
              </w:rPr>
              <w:t>Educational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Systems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29BC7EF7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6B3395">
              <w:rPr>
                <w:rFonts w:asciiTheme="minorHAnsi" w:hAnsiTheme="minorHAnsi" w:cstheme="minorHAnsi"/>
              </w:rPr>
              <w:t>Karger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B3395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/doc.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Mgr. Jan Kalenda,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7AB23275" w:rsidR="006B3395" w:rsidRPr="00FE4EB8" w:rsidRDefault="006B3395" w:rsidP="006B339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A46000C" w:rsidR="006B3395" w:rsidRPr="00FE4EB8" w:rsidRDefault="006B3395" w:rsidP="006B339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462*</w:t>
            </w:r>
          </w:p>
        </w:tc>
      </w:tr>
      <w:tr w:rsidR="00672624" w:rsidRPr="00FE4EB8" w14:paraId="02F3C8A6" w14:textId="77777777" w:rsidTr="006B3395">
        <w:trPr>
          <w:trHeight w:val="13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55FD381E" w:rsidR="00672624" w:rsidRPr="00FE4EB8" w:rsidRDefault="006B3395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5D60A472" w:rsidR="00672624" w:rsidRPr="00FE4EB8" w:rsidRDefault="006B3395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462</w:t>
            </w:r>
          </w:p>
        </w:tc>
      </w:tr>
    </w:tbl>
    <w:p w14:paraId="7B0683F0" w14:textId="18CBDBB4" w:rsidR="006B3395" w:rsidRDefault="006B3395" w:rsidP="006B3395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Zbylé finanční prostředky nebyly v</w:t>
      </w:r>
      <w:r w:rsidR="00C31F70">
        <w:rPr>
          <w:rFonts w:asciiTheme="minorHAnsi" w:hAnsiTheme="minorHAnsi" w:cstheme="minorHAnsi"/>
          <w:sz w:val="20"/>
        </w:rPr>
        <w:t xml:space="preserve"> rámci</w:t>
      </w:r>
      <w:r>
        <w:rPr>
          <w:rFonts w:asciiTheme="minorHAnsi" w:hAnsiTheme="minorHAnsi" w:cstheme="minorHAnsi"/>
          <w:sz w:val="20"/>
        </w:rPr>
        <w:t xml:space="preserve"> vyúčtování závěrečné zprávy nárokovány.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4" w:name="_Toc198151789"/>
      <w:r>
        <w:rPr>
          <w:rFonts w:asciiTheme="minorHAnsi" w:hAnsiTheme="minorHAnsi" w:cstheme="minorHAnsi"/>
        </w:rPr>
        <w:t>Národní program obnovy</w:t>
      </w:r>
      <w:bookmarkEnd w:id="14"/>
    </w:p>
    <w:p w14:paraId="06D8A80A" w14:textId="5FB2DD50" w:rsidR="007B59AF" w:rsidRDefault="009A4650" w:rsidP="006B3914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</w:t>
      </w:r>
      <w:r w:rsidR="007B59AF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992"/>
      </w:tblGrid>
      <w:tr w:rsidR="003A3E34" w:rsidRPr="00DC6A0F" w14:paraId="7E88E3AE" w14:textId="77777777" w:rsidTr="006B3395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1824149" w14:textId="5DAE979E" w:rsidR="007B59AF" w:rsidRPr="007F03CD" w:rsidRDefault="007C608D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150897CD" w14:textId="77777777" w:rsidTr="00AB13B7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780E" w14:textId="22EF4DF8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605" w14:textId="73A46459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4A2" w14:textId="0DFB7C3E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D3FE0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6D3FE0">
              <w:rPr>
                <w:rFonts w:asciiTheme="minorHAnsi" w:hAnsiTheme="minorHAnsi" w:cstheme="minorHAnsi"/>
              </w:rPr>
              <w:t>Ph.D./Mgr.</w:t>
            </w:r>
            <w:proofErr w:type="gramEnd"/>
            <w:r w:rsidRPr="006D3FE0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D1C6" w14:textId="0D64FAA1" w:rsidR="007C608D" w:rsidRPr="007B59AF" w:rsidRDefault="007C608D" w:rsidP="007C608D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783D" w14:textId="3C261896" w:rsidR="007C608D" w:rsidRPr="007B59AF" w:rsidRDefault="007C608D" w:rsidP="007C608D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</w:tr>
      <w:tr w:rsidR="007C608D" w:rsidRPr="00FE4EB8" w14:paraId="22286FA9" w14:textId="77777777" w:rsidTr="00AB13B7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50CB" w14:textId="5B06C975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0021/NPO74_PZDU_VS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67B8" w14:textId="2E6B7714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Podpora zelených dovedností a udržitelnosti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CDF2" w14:textId="03DA02F6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D3FE0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6D3FE0">
              <w:rPr>
                <w:rFonts w:asciiTheme="minorHAnsi" w:hAnsiTheme="minorHAnsi" w:cstheme="minorHAnsi"/>
              </w:rPr>
              <w:t>Ph.D./Mgr.</w:t>
            </w:r>
            <w:proofErr w:type="gramEnd"/>
            <w:r w:rsidRPr="006D3FE0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770F" w14:textId="395EDA55" w:rsidR="007C608D" w:rsidRPr="007B59AF" w:rsidRDefault="007C608D" w:rsidP="007C608D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1 738*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527D" w14:textId="3349F559" w:rsidR="007C608D" w:rsidRDefault="007C608D" w:rsidP="007C608D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868</w:t>
            </w:r>
          </w:p>
        </w:tc>
      </w:tr>
      <w:tr w:rsidR="007B59AF" w:rsidRPr="00FE4EB8" w14:paraId="620D18C2" w14:textId="77777777" w:rsidTr="006B3395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E77" w14:textId="6A48AAEC" w:rsidR="007B59AF" w:rsidRPr="007B59AF" w:rsidRDefault="00D37893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58E" w14:textId="3895B114" w:rsidR="007B59AF" w:rsidRPr="007B59AF" w:rsidRDefault="00D37893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1 239</w:t>
            </w:r>
          </w:p>
        </w:tc>
      </w:tr>
    </w:tbl>
    <w:p w14:paraId="2B7BB1F4" w14:textId="5DC4E657" w:rsidR="007B59AF" w:rsidRDefault="007B59AF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  <w:r w:rsidR="00D37893">
        <w:rPr>
          <w:rFonts w:asciiTheme="minorHAnsi" w:hAnsiTheme="minorHAnsi" w:cstheme="minorHAnsi"/>
          <w:sz w:val="20"/>
        </w:rPr>
        <w:t>. Částka ve výši 870 tis. Kč byla převedena</w:t>
      </w:r>
      <w:r w:rsidR="000C2A5E">
        <w:rPr>
          <w:rFonts w:asciiTheme="minorHAnsi" w:hAnsiTheme="minorHAnsi" w:cstheme="minorHAnsi"/>
          <w:sz w:val="20"/>
        </w:rPr>
        <w:t xml:space="preserve"> do Fondu provozních prostředků</w:t>
      </w:r>
      <w:r w:rsidR="00D37893">
        <w:rPr>
          <w:rFonts w:asciiTheme="minorHAnsi" w:hAnsiTheme="minorHAnsi" w:cstheme="minorHAnsi"/>
          <w:sz w:val="20"/>
        </w:rPr>
        <w:t xml:space="preserve"> do roku 2025.</w:t>
      </w:r>
    </w:p>
    <w:p w14:paraId="798AF704" w14:textId="61A6E908" w:rsidR="007D3E0B" w:rsidRDefault="00B0509F" w:rsidP="00D37893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5B46B02C" w14:textId="08965814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ABD99F6" w14:textId="26C829AB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7F33A8B" w14:textId="7919D3E3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EE2B328" w14:textId="0A0003F0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A3D226" w14:textId="50C1CBFA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5BB1D4C" w14:textId="665FC08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269E5AC" w14:textId="339C96CE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195233D5" w14:textId="019B3871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AD0F429" w14:textId="7D3389B5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36CEA1" w14:textId="7AA1C349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2ACDCEB1" w14:textId="7777777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48701B1" w14:textId="14459DB8" w:rsidR="007D3E0B" w:rsidRPr="004220EE" w:rsidRDefault="007D3E0B" w:rsidP="007B59AF">
      <w:pPr>
        <w:pStyle w:val="Nadpis3"/>
        <w:rPr>
          <w:rFonts w:asciiTheme="minorHAnsi" w:hAnsiTheme="minorHAnsi" w:cstheme="minorHAnsi"/>
        </w:rPr>
      </w:pPr>
      <w:bookmarkStart w:id="15" w:name="_Toc198151790"/>
      <w:r w:rsidRPr="004220EE">
        <w:rPr>
          <w:rFonts w:asciiTheme="minorHAnsi" w:hAnsiTheme="minorHAnsi" w:cstheme="minorHAnsi"/>
        </w:rPr>
        <w:lastRenderedPageBreak/>
        <w:t xml:space="preserve">Projekt </w:t>
      </w:r>
      <w:r w:rsidR="004220EE">
        <w:rPr>
          <w:rFonts w:asciiTheme="minorHAnsi" w:hAnsiTheme="minorHAnsi" w:cstheme="minorHAnsi"/>
        </w:rPr>
        <w:t>Nadace České spořitelny</w:t>
      </w:r>
      <w:bookmarkEnd w:id="15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39B0441D" w:rsidR="007D3E0B" w:rsidRPr="00FA2B1C" w:rsidRDefault="004C55CC" w:rsidP="007D3E0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E0B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5DB03FD4" w:rsidR="007D3E0B" w:rsidRPr="00E5106A" w:rsidRDefault="007C608D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F7765B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 xml:space="preserve">doc. Mgr. Jakub Hladík, </w:t>
            </w:r>
            <w:proofErr w:type="gramStart"/>
            <w:r w:rsidRPr="007B59AF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/Mgr.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Denisa </w:t>
            </w:r>
            <w:proofErr w:type="spellStart"/>
            <w:r w:rsidR="007C608D">
              <w:rPr>
                <w:rFonts w:asciiTheme="minorHAnsi" w:hAnsiTheme="minorHAnsi" w:cstheme="minorHAnsi"/>
              </w:rPr>
              <w:t>Denglerová</w:t>
            </w:r>
            <w:proofErr w:type="spellEnd"/>
            <w:r w:rsidR="007C608D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08BFC04F" w:rsidR="007B59AF" w:rsidRPr="007B59AF" w:rsidRDefault="004220EE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7B59A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39295DC" w:rsidR="007B59AF" w:rsidRPr="007B59AF" w:rsidRDefault="004220EE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5155A733" w:rsidR="007D3E0B" w:rsidRPr="00FA2B1C" w:rsidRDefault="004220EE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8B519D1" w:rsidR="007D3E0B" w:rsidRPr="00FA2B1C" w:rsidRDefault="004220EE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</w:tr>
    </w:tbl>
    <w:p w14:paraId="5E55DE57" w14:textId="5FB85A10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 </w:t>
      </w:r>
      <w:r>
        <w:rPr>
          <w:rFonts w:asciiTheme="minorHAnsi" w:hAnsiTheme="minorHAnsi" w:cstheme="minorHAnsi"/>
          <w:sz w:val="20"/>
        </w:rPr>
        <w:t xml:space="preserve">byla </w:t>
      </w:r>
      <w:r w:rsidR="004220EE">
        <w:rPr>
          <w:rFonts w:asciiTheme="minorHAnsi" w:hAnsiTheme="minorHAnsi" w:cstheme="minorHAnsi"/>
          <w:sz w:val="20"/>
        </w:rPr>
        <w:t>čerpána z</w:t>
      </w:r>
      <w:r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65A513C5" w14:textId="2F4CA44C" w:rsidR="00421D01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2E772732" w14:textId="18505D03" w:rsidR="001A2063" w:rsidRPr="00163664" w:rsidRDefault="004220EE" w:rsidP="00163664">
      <w:pPr>
        <w:pStyle w:val="Nadpis3"/>
        <w:rPr>
          <w:rFonts w:asciiTheme="minorHAnsi" w:hAnsiTheme="minorHAnsi" w:cstheme="minorHAnsi"/>
        </w:rPr>
      </w:pPr>
      <w:bookmarkStart w:id="16" w:name="_Toc198151791"/>
      <w:r w:rsidRPr="004220EE">
        <w:rPr>
          <w:rFonts w:asciiTheme="minorHAnsi" w:hAnsiTheme="minorHAnsi" w:cstheme="minorHAnsi"/>
        </w:rPr>
        <w:t>Projekt Nadace rodiny Vlčkových</w:t>
      </w:r>
      <w:bookmarkEnd w:id="16"/>
    </w:p>
    <w:p w14:paraId="022D16CC" w14:textId="16D05439" w:rsidR="001A2063" w:rsidRDefault="001A2063" w:rsidP="004220EE"/>
    <w:p w14:paraId="513BC675" w14:textId="7D394660" w:rsidR="001A2063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4220EE" w:rsidRPr="00D04A38" w14:paraId="05236356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69CF37" w14:textId="77777777" w:rsidR="004220EE" w:rsidRPr="00E5106A" w:rsidRDefault="004220E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3F6DE4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6676F83" w14:textId="4D8D8527" w:rsidR="004220EE" w:rsidRPr="00E5106A" w:rsidRDefault="007C608D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DCA75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BCE17D" w14:textId="77777777" w:rsidR="004220EE" w:rsidRPr="00E5106A" w:rsidRDefault="004220E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4220EE" w:rsidRPr="00FE4EB8" w14:paraId="38D533B6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570" w14:textId="2804EA64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2402VS-011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B032" w14:textId="5F06919C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Multidisciplinární spolupráce odborníků Univerzity Tomáše Bati ve Zlíně v dětské paliativní péči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515" w14:textId="0BECBE48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</w:t>
            </w:r>
            <w:r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  <w:r w:rsidR="007C608D">
              <w:rPr>
                <w:rFonts w:asciiTheme="minorHAnsi" w:hAnsiTheme="minorHAnsi" w:cstheme="minorHAnsi"/>
              </w:rPr>
              <w:t>/PhDr.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Mgr. Michaela </w:t>
            </w:r>
            <w:proofErr w:type="spellStart"/>
            <w:r w:rsidR="007C608D">
              <w:rPr>
                <w:rFonts w:asciiTheme="minorHAnsi" w:hAnsiTheme="minorHAnsi" w:cstheme="minorHAnsi"/>
              </w:rPr>
              <w:t>Hofštetrová</w:t>
            </w:r>
            <w:proofErr w:type="spellEnd"/>
            <w:r w:rsidR="007C608D">
              <w:rPr>
                <w:rFonts w:asciiTheme="minorHAnsi" w:hAnsiTheme="minorHAnsi" w:cstheme="minorHAnsi"/>
              </w:rPr>
              <w:t xml:space="preserve"> Knotková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0514" w14:textId="0A8B619C" w:rsidR="004220EE" w:rsidRPr="007B59AF" w:rsidRDefault="000C2A5E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1 229*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0ED" w14:textId="34317871" w:rsidR="004220EE" w:rsidRPr="007B59AF" w:rsidRDefault="000C2A5E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</w:tr>
      <w:tr w:rsidR="004220EE" w:rsidRPr="00FE4EB8" w14:paraId="7EEE0C7C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F1F" w14:textId="77777777" w:rsidR="004220EE" w:rsidRPr="00820CF0" w:rsidRDefault="004220EE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2895" w14:textId="6A1F78DE" w:rsidR="004220EE" w:rsidRPr="00FA2B1C" w:rsidRDefault="000C2A5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9A53" w14:textId="2EEECAF5" w:rsidR="004220EE" w:rsidRPr="00FA2B1C" w:rsidRDefault="000C2A5E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185</w:t>
            </w:r>
          </w:p>
        </w:tc>
      </w:tr>
    </w:tbl>
    <w:p w14:paraId="7B8A00C3" w14:textId="5E0D0A2A" w:rsidR="000C2A5E" w:rsidRDefault="000C2A5E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plánu. Částka ve výši 1 044 tis. Kč byla převedena do Fondu účelově určených prostředků roku 2025.</w:t>
      </w:r>
    </w:p>
    <w:p w14:paraId="354BD170" w14:textId="35D76429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AED696B" w14:textId="20F1E31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AA10207" w14:textId="0DD7B43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72A5F01" w14:textId="1F8B70D9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374F33F" w14:textId="78A49D7D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5E3AA9F0" w14:textId="0B963AD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D5B73F1" w14:textId="587B9C5F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92ACEB7" w14:textId="1A491308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06BD780" w14:textId="443708D1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E5A0010" w14:textId="2DC1255A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5C2C8BB" w14:textId="7C9BA25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9B0FAB0" w14:textId="77777777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8AFDC5E" w14:textId="0663562F" w:rsidR="000C2A5E" w:rsidRPr="00B402AF" w:rsidRDefault="000C2A5E" w:rsidP="000C2A5E">
      <w:pPr>
        <w:pStyle w:val="Nadpis3"/>
        <w:rPr>
          <w:rFonts w:asciiTheme="minorHAnsi" w:hAnsiTheme="minorHAnsi" w:cstheme="minorHAnsi"/>
        </w:rPr>
      </w:pPr>
      <w:bookmarkStart w:id="17" w:name="_Toc177720724"/>
      <w:bookmarkStart w:id="18" w:name="_Toc198151792"/>
      <w:r w:rsidRPr="00B402AF">
        <w:rPr>
          <w:rFonts w:asciiTheme="minorHAnsi" w:hAnsiTheme="minorHAnsi" w:cstheme="minorHAnsi"/>
        </w:rPr>
        <w:t>Dotace na projekty OP JAK</w:t>
      </w:r>
      <w:bookmarkEnd w:id="17"/>
      <w:bookmarkEnd w:id="18"/>
    </w:p>
    <w:p w14:paraId="2BEE1008" w14:textId="030162D9" w:rsidR="000C2A5E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0C2A5E" w:rsidRPr="00DC6A0F" w14:paraId="0546284C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0CCD74" w14:textId="77777777" w:rsidR="000C2A5E" w:rsidRPr="00DC6A0F" w:rsidRDefault="000C2A5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32A64B" w14:textId="77777777" w:rsidR="000C2A5E" w:rsidRPr="00DC6A0F" w:rsidRDefault="000C2A5E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26C34" w14:textId="4939FA8A" w:rsidR="000C2A5E" w:rsidRPr="007F03CD" w:rsidRDefault="007C608D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9DE261" w14:textId="77777777" w:rsidR="000C2A5E" w:rsidRPr="00DC6A0F" w:rsidRDefault="000C2A5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0274C2" w14:textId="77777777" w:rsidR="000C2A5E" w:rsidRPr="00DC6A0F" w:rsidRDefault="000C2A5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C2A5E" w:rsidRPr="00FE4EB8" w14:paraId="4BF644A3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9BC9" w14:textId="25768B0D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665B" w14:textId="43465E76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801B" w14:textId="504D6403" w:rsidR="000C2A5E" w:rsidRPr="007B59AF" w:rsidRDefault="007C608D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/</w:t>
            </w:r>
            <w:r w:rsidRPr="00582923">
              <w:rPr>
                <w:rFonts w:asciiTheme="minorHAnsi" w:hAnsiTheme="minorHAnsi" w:cstheme="minorHAnsi"/>
              </w:rPr>
              <w:t>Mgr.</w:t>
            </w:r>
            <w:proofErr w:type="gramEnd"/>
            <w:r w:rsidRPr="00582923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7DDA" w14:textId="3BF289DA" w:rsidR="000C2A5E" w:rsidRPr="007B59AF" w:rsidRDefault="001A2063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478*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95B" w14:textId="4BF3FDF6" w:rsidR="000C2A5E" w:rsidRPr="007B59AF" w:rsidRDefault="001A2063" w:rsidP="000C2A5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</w:t>
            </w:r>
          </w:p>
        </w:tc>
      </w:tr>
      <w:tr w:rsidR="000C2A5E" w:rsidRPr="00FE4EB8" w14:paraId="74910C5D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ED1E" w14:textId="5BFE0C9E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0C2A5E">
              <w:rPr>
                <w:rFonts w:asciiTheme="minorHAnsi" w:hAnsiTheme="minorHAnsi" w:cstheme="minorHAnsi"/>
              </w:rPr>
              <w:t>CZ.02.02</w:t>
            </w:r>
            <w:proofErr w:type="gramEnd"/>
            <w:r w:rsidRPr="000C2A5E">
              <w:rPr>
                <w:rFonts w:asciiTheme="minorHAnsi" w:hAnsiTheme="minorHAnsi" w:cstheme="minorHAnsi"/>
              </w:rPr>
              <w:t>.XX/00/23_019/0008236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71D0" w14:textId="23590E92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Inovace koncepčního rámce pregraduální přípravy studujících učitelství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134" w14:textId="5D59EEC7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 xml:space="preserve">doc. PhDr. Marcela Janíková, </w:t>
            </w:r>
            <w:proofErr w:type="gramStart"/>
            <w:r w:rsidRPr="000C2A5E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</w:t>
            </w:r>
            <w:r w:rsidR="007C608D" w:rsidRPr="000C2A5E">
              <w:rPr>
                <w:rFonts w:asciiTheme="minorHAnsi" w:hAnsiTheme="minorHAnsi" w:cstheme="minorHAnsi"/>
              </w:rPr>
              <w:t xml:space="preserve"> doc.</w:t>
            </w:r>
            <w:proofErr w:type="gramEnd"/>
            <w:r w:rsidR="007C608D" w:rsidRPr="000C2A5E">
              <w:rPr>
                <w:rFonts w:asciiTheme="minorHAnsi" w:hAnsiTheme="minorHAnsi" w:cstheme="minorHAnsi"/>
              </w:rPr>
              <w:t xml:space="preserve"> PhDr. Marcela Janíková,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CD28" w14:textId="64B71A31" w:rsidR="000C2A5E" w:rsidRPr="007B59AF" w:rsidRDefault="00752C17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5 146**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6C7F" w14:textId="78158558" w:rsidR="000C2A5E" w:rsidRDefault="00A86413" w:rsidP="00CD102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</w:t>
            </w:r>
            <w:r w:rsidR="00CD102E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**</w:t>
            </w:r>
          </w:p>
        </w:tc>
      </w:tr>
      <w:tr w:rsidR="000C2A5E" w:rsidRPr="00FE4EB8" w14:paraId="2F579C88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44FE1" w14:textId="77777777" w:rsidR="000C2A5E" w:rsidRPr="00FE4EB8" w:rsidRDefault="000C2A5E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73F0" w14:textId="77777777" w:rsidR="000C2A5E" w:rsidRPr="00FE4EB8" w:rsidRDefault="000C2A5E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61C7" w14:textId="3A2CEBEA" w:rsidR="000C2A5E" w:rsidRPr="007B59AF" w:rsidRDefault="00CD102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F3D9" w14:textId="079F4645" w:rsidR="000C2A5E" w:rsidRPr="007B59AF" w:rsidRDefault="00CD102E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2 232</w:t>
            </w:r>
          </w:p>
        </w:tc>
      </w:tr>
    </w:tbl>
    <w:p w14:paraId="6A62A18D" w14:textId="267009ED" w:rsidR="001A2063" w:rsidRDefault="001A2063" w:rsidP="001A206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503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478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25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34DA7C27" w14:textId="105D9CE4" w:rsidR="000C2A5E" w:rsidRPr="000C2A5E" w:rsidRDefault="00752C17" w:rsidP="000C2A5E">
      <w:r>
        <w:rPr>
          <w:rFonts w:asciiTheme="minorHAnsi" w:hAnsiTheme="minorHAnsi" w:cstheme="minorHAnsi"/>
          <w:sz w:val="20"/>
        </w:rPr>
        <w:t>**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</w:t>
      </w:r>
      <w:r w:rsidR="00A86413">
        <w:rPr>
          <w:rFonts w:asciiTheme="minorHAnsi" w:hAnsiTheme="minorHAnsi" w:cstheme="minorHAnsi"/>
          <w:sz w:val="20"/>
        </w:rPr>
        <w:t xml:space="preserve"> 416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A86413">
        <w:rPr>
          <w:rFonts w:asciiTheme="minorHAnsi" w:hAnsiTheme="minorHAnsi" w:cstheme="minorHAnsi"/>
          <w:sz w:val="20"/>
        </w:rPr>
        <w:t xml:space="preserve"> (rozpočet FHS a FAI)</w:t>
      </w:r>
      <w:r w:rsidRPr="003C48FD">
        <w:rPr>
          <w:rFonts w:asciiTheme="minorHAnsi" w:hAnsiTheme="minorHAnsi" w:cstheme="minorHAnsi"/>
          <w:sz w:val="20"/>
        </w:rPr>
        <w:t xml:space="preserve">, z toho přiznaná dotace je ve výši </w:t>
      </w:r>
      <w:r w:rsidR="00A86413">
        <w:rPr>
          <w:rFonts w:asciiTheme="minorHAnsi" w:hAnsiTheme="minorHAnsi" w:cstheme="minorHAnsi"/>
          <w:sz w:val="20"/>
        </w:rPr>
        <w:t>5 146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A86413">
        <w:rPr>
          <w:rFonts w:asciiTheme="minorHAnsi" w:hAnsiTheme="minorHAnsi" w:cstheme="minorHAnsi"/>
          <w:sz w:val="20"/>
        </w:rPr>
        <w:t>270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  <w:r w:rsidR="00CD102E">
        <w:rPr>
          <w:rFonts w:asciiTheme="minorHAnsi" w:hAnsiTheme="minorHAnsi" w:cstheme="minorHAnsi"/>
          <w:sz w:val="20"/>
        </w:rPr>
        <w:t xml:space="preserve"> Náklady jsou rozděleny</w:t>
      </w:r>
      <w:r w:rsidR="00A73C53">
        <w:rPr>
          <w:rFonts w:asciiTheme="minorHAnsi" w:hAnsiTheme="minorHAnsi" w:cstheme="minorHAnsi"/>
          <w:sz w:val="20"/>
        </w:rPr>
        <w:t xml:space="preserve"> takto:</w:t>
      </w:r>
      <w:r w:rsidR="00CD102E">
        <w:rPr>
          <w:rFonts w:asciiTheme="minorHAnsi" w:hAnsiTheme="minorHAnsi" w:cstheme="minorHAnsi"/>
          <w:sz w:val="20"/>
        </w:rPr>
        <w:t xml:space="preserve"> 1 595</w:t>
      </w:r>
      <w:r w:rsidR="00A86413">
        <w:rPr>
          <w:rFonts w:asciiTheme="minorHAnsi" w:hAnsiTheme="minorHAnsi" w:cstheme="minorHAnsi"/>
          <w:sz w:val="20"/>
        </w:rPr>
        <w:t xml:space="preserve"> tis. Kč FHS, 135 tis. Kč FAI. Přiznaná dotace</w:t>
      </w:r>
      <w:r>
        <w:rPr>
          <w:rFonts w:asciiTheme="minorHAnsi" w:hAnsiTheme="minorHAnsi" w:cstheme="minorHAnsi"/>
          <w:sz w:val="20"/>
        </w:rPr>
        <w:t xml:space="preserve"> dle finančního plánu.</w:t>
      </w:r>
      <w:r w:rsidR="00A86413">
        <w:rPr>
          <w:rFonts w:asciiTheme="minorHAnsi" w:hAnsiTheme="minorHAnsi" w:cstheme="minorHAnsi"/>
          <w:sz w:val="20"/>
        </w:rPr>
        <w:t xml:space="preserve"> Částka ve výši 3 417 tis. Kč převedena do roku 2025.</w:t>
      </w:r>
    </w:p>
    <w:p w14:paraId="307CDD27" w14:textId="53A94997" w:rsidR="001A2063" w:rsidRDefault="001A2063" w:rsidP="004220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1A2063" w:rsidRPr="00DC6A0F" w14:paraId="7C212691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E76109" w14:textId="77777777" w:rsidR="001A2063" w:rsidRPr="00DC6A0F" w:rsidRDefault="001A2063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4827163" w14:textId="77777777" w:rsidR="001A2063" w:rsidRPr="00DC6A0F" w:rsidRDefault="001A2063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4491A5" w14:textId="4402A5CD" w:rsidR="001A2063" w:rsidRPr="007F03CD" w:rsidRDefault="007C608D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944700" w14:textId="4DF903CE" w:rsidR="001A2063" w:rsidRPr="00DC6A0F" w:rsidRDefault="001A2063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3749FBF" w14:textId="77777777" w:rsidR="001A2063" w:rsidRPr="00DC6A0F" w:rsidRDefault="001A2063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A2063" w:rsidRPr="00FE4EB8" w14:paraId="6256F4A4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41F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E15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0E01" w14:textId="01788823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0C2A5E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/Mgr.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184C" w14:textId="171F1B61" w:rsidR="001A2063" w:rsidRPr="007B59AF" w:rsidRDefault="001A206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16F2" w14:textId="3EE10E51" w:rsidR="001A2063" w:rsidRPr="007B59AF" w:rsidRDefault="001A206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273</w:t>
            </w:r>
          </w:p>
        </w:tc>
      </w:tr>
      <w:tr w:rsidR="001A2063" w:rsidRPr="00FE4EB8" w14:paraId="7A8E5FC0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8215" w14:textId="77777777" w:rsidR="001A2063" w:rsidRPr="00FE4EB8" w:rsidRDefault="001A2063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D2982" w14:textId="77777777" w:rsidR="001A2063" w:rsidRPr="00FE4EB8" w:rsidRDefault="001A2063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3DD0" w14:textId="70652081" w:rsidR="001A2063" w:rsidRPr="007B59AF" w:rsidRDefault="001A206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2961" w14:textId="0DFD4259" w:rsidR="001A2063" w:rsidRPr="007B59AF" w:rsidRDefault="001A2063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273</w:t>
            </w:r>
          </w:p>
        </w:tc>
      </w:tr>
    </w:tbl>
    <w:p w14:paraId="35984B2F" w14:textId="5894F79F" w:rsidR="001A2063" w:rsidRPr="00B402AF" w:rsidRDefault="001A2063" w:rsidP="00B402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273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259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14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D702279" w14:textId="158E2C99" w:rsidR="001A2063" w:rsidRDefault="001A2063" w:rsidP="004220EE"/>
    <w:p w14:paraId="0A51AA66" w14:textId="3EE5C910" w:rsidR="00163664" w:rsidRDefault="00163664" w:rsidP="004220EE"/>
    <w:p w14:paraId="105F3080" w14:textId="2ED44F21" w:rsidR="00163664" w:rsidRDefault="00163664" w:rsidP="004220EE"/>
    <w:p w14:paraId="21EC7A69" w14:textId="0820C452" w:rsidR="00163664" w:rsidRDefault="00163664" w:rsidP="004220EE"/>
    <w:p w14:paraId="6C183DC7" w14:textId="7906D9C6" w:rsidR="00163664" w:rsidRDefault="00163664" w:rsidP="004220EE"/>
    <w:p w14:paraId="16DD8315" w14:textId="4AFA83BC" w:rsidR="00163664" w:rsidRDefault="00163664" w:rsidP="004220EE"/>
    <w:p w14:paraId="079CAB9A" w14:textId="206FE06E" w:rsidR="00163664" w:rsidRDefault="00163664" w:rsidP="004220EE"/>
    <w:p w14:paraId="7F019940" w14:textId="77777777" w:rsidR="00163664" w:rsidRDefault="00163664" w:rsidP="004220EE"/>
    <w:p w14:paraId="59E777BD" w14:textId="4E57E0BA" w:rsidR="00B402AF" w:rsidRDefault="00B402AF" w:rsidP="00B402AF">
      <w:pPr>
        <w:pStyle w:val="Nadpis3"/>
        <w:ind w:left="851" w:hanging="851"/>
        <w:rPr>
          <w:rFonts w:asciiTheme="minorHAnsi" w:hAnsiTheme="minorHAnsi" w:cstheme="minorHAnsi"/>
        </w:rPr>
      </w:pPr>
      <w:bookmarkStart w:id="19" w:name="_Toc177720728"/>
      <w:bookmarkStart w:id="20" w:name="_Toc198151793"/>
      <w:r w:rsidRPr="00B402AF">
        <w:rPr>
          <w:rFonts w:asciiTheme="minorHAnsi" w:hAnsiTheme="minorHAnsi" w:cstheme="minorHAnsi"/>
        </w:rPr>
        <w:lastRenderedPageBreak/>
        <w:t xml:space="preserve">Dotace Zlínského Kraje – </w:t>
      </w:r>
      <w:proofErr w:type="spellStart"/>
      <w:r w:rsidRPr="00B402AF">
        <w:rPr>
          <w:rFonts w:asciiTheme="minorHAnsi" w:hAnsiTheme="minorHAnsi" w:cstheme="minorHAnsi"/>
        </w:rPr>
        <w:t>Creativity</w:t>
      </w:r>
      <w:proofErr w:type="spellEnd"/>
      <w:r w:rsidRPr="00B402AF">
        <w:rPr>
          <w:rFonts w:asciiTheme="minorHAnsi" w:hAnsiTheme="minorHAnsi" w:cstheme="minorHAnsi"/>
        </w:rPr>
        <w:t>, Inteligence &amp; Talent pro Zlínský kraj</w:t>
      </w:r>
      <w:bookmarkEnd w:id="19"/>
      <w:bookmarkEnd w:id="20"/>
    </w:p>
    <w:p w14:paraId="1C552207" w14:textId="77777777" w:rsidR="00B402AF" w:rsidRPr="00B402AF" w:rsidRDefault="00B402AF" w:rsidP="00B402AF"/>
    <w:p w14:paraId="24080069" w14:textId="746096BD" w:rsidR="00B402AF" w:rsidRDefault="00B402AF" w:rsidP="00B402AF">
      <w:pPr>
        <w:ind w:left="7090" w:firstLine="6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B402AF" w:rsidRPr="00D04A38" w14:paraId="371669CD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29A59E1" w14:textId="77777777" w:rsidR="00B402AF" w:rsidRPr="00E5106A" w:rsidRDefault="00B402AF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676D38C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9E6E49" w14:textId="349F73BA" w:rsidR="00B402AF" w:rsidRPr="00E5106A" w:rsidRDefault="007C608D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operace/řešitel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F9CAD9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E7C8FD" w14:textId="77777777" w:rsidR="00B402AF" w:rsidRPr="00E5106A" w:rsidRDefault="00B402AF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402AF" w:rsidRPr="00FE4EB8" w14:paraId="42805A2F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B9C8" w14:textId="72F2CB71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>UC60240001186-PU10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928D" w14:textId="77777777" w:rsidR="00B402AF" w:rsidRPr="00B402AF" w:rsidRDefault="00B402AF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B402AF">
              <w:rPr>
                <w:rFonts w:asciiTheme="minorHAnsi" w:hAnsiTheme="minorHAnsi" w:cstheme="minorHAnsi"/>
              </w:rPr>
              <w:t>Creativity</w:t>
            </w:r>
            <w:proofErr w:type="spellEnd"/>
            <w:r w:rsidRPr="00B402AF">
              <w:rPr>
                <w:rFonts w:asciiTheme="minorHAnsi" w:hAnsiTheme="minorHAnsi" w:cstheme="minorHAnsi"/>
              </w:rPr>
              <w:t>, Inteligence &amp; Talent pro Zlínský kraj</w:t>
            </w:r>
          </w:p>
          <w:p w14:paraId="15152578" w14:textId="6773A69C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3127" w14:textId="74192502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B402AF">
              <w:rPr>
                <w:rFonts w:asciiTheme="minorHAnsi" w:hAnsiTheme="minorHAnsi" w:cstheme="minorHAnsi"/>
              </w:rPr>
              <w:t>Ph.D.</w:t>
            </w:r>
            <w:r w:rsidR="007C608D">
              <w:rPr>
                <w:rFonts w:asciiTheme="minorHAnsi" w:hAnsiTheme="minorHAnsi" w:cstheme="minorHAnsi"/>
              </w:rPr>
              <w:t>/Mgr.</w:t>
            </w:r>
            <w:proofErr w:type="gramEnd"/>
            <w:r w:rsidR="007C608D">
              <w:rPr>
                <w:rFonts w:asciiTheme="minorHAnsi" w:hAnsiTheme="minorHAnsi" w:cstheme="minorHAnsi"/>
              </w:rPr>
              <w:t xml:space="preserve"> Libor Marek,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86B9" w14:textId="4796AC76" w:rsidR="00B402AF" w:rsidRPr="007B59AF" w:rsidRDefault="006A4DF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118</w:t>
            </w:r>
            <w:r w:rsidR="003B1D4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5413" w14:textId="48B0902A" w:rsidR="00B402AF" w:rsidRPr="007B59AF" w:rsidRDefault="006A4DF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986</w:t>
            </w:r>
            <w:r w:rsidR="003B1D46">
              <w:rPr>
                <w:rFonts w:asciiTheme="minorHAnsi" w:hAnsiTheme="minorHAnsi" w:cstheme="minorHAnsi"/>
              </w:rPr>
              <w:t>**</w:t>
            </w:r>
          </w:p>
        </w:tc>
      </w:tr>
      <w:tr w:rsidR="00B402AF" w:rsidRPr="00FE4EB8" w14:paraId="46F55F5A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8B86" w14:textId="77777777" w:rsidR="00B402AF" w:rsidRPr="00820CF0" w:rsidRDefault="00B402AF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457" w14:textId="352AFE79" w:rsidR="00B402AF" w:rsidRPr="00FA2B1C" w:rsidRDefault="006A4DF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ED38" w14:textId="3C9F1125" w:rsidR="00B402AF" w:rsidRPr="00FA2B1C" w:rsidRDefault="006A4DF3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2 986</w:t>
            </w:r>
          </w:p>
        </w:tc>
      </w:tr>
    </w:tbl>
    <w:p w14:paraId="4A7B3433" w14:textId="01415A2B" w:rsidR="003B1D46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</w:t>
      </w:r>
      <w:r w:rsidRPr="003C48FD">
        <w:rPr>
          <w:rFonts w:asciiTheme="minorHAnsi" w:hAnsiTheme="minorHAnsi" w:cstheme="minorHAnsi"/>
          <w:sz w:val="20"/>
        </w:rPr>
        <w:t xml:space="preserve"> dotace </w:t>
      </w:r>
      <w:r>
        <w:rPr>
          <w:rFonts w:asciiTheme="minorHAnsi" w:hAnsiTheme="minorHAnsi" w:cstheme="minorHAnsi"/>
          <w:sz w:val="20"/>
        </w:rPr>
        <w:t>vyčerpána částka ve výši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2 090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873E8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zbylé finanční prostředky budou čerpány v roce 2025. </w:t>
      </w:r>
    </w:p>
    <w:p w14:paraId="77F6D030" w14:textId="3E63F134" w:rsidR="006A4DF3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="006A4DF3" w:rsidRPr="00037E9C">
        <w:rPr>
          <w:rFonts w:asciiTheme="minorHAnsi" w:hAnsiTheme="minorHAnsi" w:cstheme="minorHAnsi"/>
          <w:sz w:val="20"/>
        </w:rPr>
        <w:t>*</w:t>
      </w:r>
      <w:r w:rsidR="006A4DF3">
        <w:rPr>
          <w:rFonts w:asciiTheme="minorHAnsi" w:hAnsiTheme="minorHAnsi" w:cstheme="minorHAnsi"/>
          <w:sz w:val="20"/>
        </w:rPr>
        <w:t xml:space="preserve"> Celkov</w:t>
      </w:r>
      <w:r w:rsidR="00873E8E">
        <w:rPr>
          <w:rFonts w:asciiTheme="minorHAnsi" w:hAnsiTheme="minorHAnsi" w:cstheme="minorHAnsi"/>
          <w:sz w:val="20"/>
        </w:rPr>
        <w:t>ý</w:t>
      </w:r>
      <w:r>
        <w:rPr>
          <w:rFonts w:asciiTheme="minorHAnsi" w:hAnsiTheme="minorHAnsi" w:cstheme="minorHAnsi"/>
          <w:sz w:val="20"/>
        </w:rPr>
        <w:t xml:space="preserve"> rozpočet</w:t>
      </w:r>
      <w:r w:rsidR="006A4DF3" w:rsidRPr="003C48FD">
        <w:rPr>
          <w:rFonts w:asciiTheme="minorHAnsi" w:hAnsiTheme="minorHAnsi" w:cstheme="minorHAnsi"/>
          <w:sz w:val="20"/>
        </w:rPr>
        <w:t xml:space="preserve"> projektu je ve výši </w:t>
      </w:r>
      <w:r w:rsidR="006A4DF3">
        <w:rPr>
          <w:rFonts w:asciiTheme="minorHAnsi" w:hAnsiTheme="minorHAnsi" w:cstheme="minorHAnsi"/>
          <w:sz w:val="20"/>
        </w:rPr>
        <w:t>2 986 tis. Kč, z toho</w:t>
      </w:r>
      <w:r w:rsidR="006A4DF3" w:rsidRPr="003C48FD">
        <w:rPr>
          <w:rFonts w:asciiTheme="minorHAnsi" w:hAnsiTheme="minorHAnsi" w:cstheme="minorHAnsi"/>
          <w:sz w:val="20"/>
        </w:rPr>
        <w:t xml:space="preserve"> dotace je ve výši </w:t>
      </w:r>
      <w:r w:rsidR="006A4DF3">
        <w:rPr>
          <w:rFonts w:asciiTheme="minorHAnsi" w:hAnsiTheme="minorHAnsi" w:cstheme="minorHAnsi"/>
          <w:sz w:val="20"/>
        </w:rPr>
        <w:t>2 090</w:t>
      </w:r>
      <w:r w:rsidR="006A4DF3" w:rsidRPr="003C48FD">
        <w:rPr>
          <w:rFonts w:asciiTheme="minorHAnsi" w:hAnsiTheme="minorHAnsi" w:cstheme="minorHAnsi"/>
          <w:sz w:val="20"/>
        </w:rPr>
        <w:t xml:space="preserve"> tis. Kč, </w:t>
      </w:r>
      <w:r w:rsidR="006A4DF3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6A4DF3" w:rsidRPr="003C48FD">
        <w:rPr>
          <w:rFonts w:asciiTheme="minorHAnsi" w:hAnsiTheme="minorHAnsi" w:cstheme="minorHAnsi"/>
          <w:sz w:val="20"/>
        </w:rPr>
        <w:t xml:space="preserve"> </w:t>
      </w:r>
      <w:r w:rsidR="006A4DF3">
        <w:rPr>
          <w:rFonts w:asciiTheme="minorHAnsi" w:hAnsiTheme="minorHAnsi" w:cstheme="minorHAnsi"/>
          <w:sz w:val="20"/>
        </w:rPr>
        <w:t>896</w:t>
      </w:r>
      <w:r w:rsidR="006A4DF3" w:rsidRPr="003C48FD">
        <w:rPr>
          <w:rFonts w:asciiTheme="minorHAnsi" w:hAnsiTheme="minorHAnsi" w:cstheme="minorHAnsi"/>
          <w:sz w:val="20"/>
        </w:rPr>
        <w:t xml:space="preserve"> tis. Kč</w:t>
      </w:r>
      <w:r w:rsidR="006A4DF3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F8E54AE" w14:textId="7253928A" w:rsidR="00B402AF" w:rsidRDefault="00B402AF" w:rsidP="00B402AF"/>
    <w:p w14:paraId="453BF3D0" w14:textId="77777777" w:rsidR="00DF61A6" w:rsidRPr="0072544B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1" w:name="_Toc198151794"/>
      <w:r w:rsidRPr="0072544B">
        <w:rPr>
          <w:rFonts w:asciiTheme="minorHAnsi" w:hAnsiTheme="minorHAnsi" w:cstheme="minorHAnsi"/>
        </w:rPr>
        <w:t xml:space="preserve">Rozbor </w:t>
      </w:r>
      <w:r w:rsidR="005B4762" w:rsidRPr="0072544B">
        <w:rPr>
          <w:rFonts w:asciiTheme="minorHAnsi" w:hAnsiTheme="minorHAnsi" w:cstheme="minorHAnsi"/>
        </w:rPr>
        <w:t xml:space="preserve">nákladů a výnosů </w:t>
      </w:r>
      <w:r w:rsidRPr="0072544B">
        <w:rPr>
          <w:rFonts w:asciiTheme="minorHAnsi" w:hAnsiTheme="minorHAnsi" w:cstheme="minorHAnsi"/>
        </w:rPr>
        <w:t>po zdrojích financování</w:t>
      </w:r>
      <w:bookmarkEnd w:id="21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1B29261E" w:rsidR="00CC0281" w:rsidRPr="005B046F" w:rsidRDefault="009E4DB3" w:rsidP="006B3914">
      <w:pPr>
        <w:spacing w:after="0" w:line="259" w:lineRule="auto"/>
        <w:ind w:right="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</w:t>
      </w:r>
      <w:r w:rsidR="00CC0281"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4F7AAA5" w:rsidR="00CC0281" w:rsidRPr="00E5454E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100 243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6C35FD0F" w:rsidR="00CC0281" w:rsidRPr="00E5454E" w:rsidRDefault="007E11A3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106 127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5A7EAD6D" w:rsidR="00CC0281" w:rsidRPr="00E5454E" w:rsidRDefault="007E11A3" w:rsidP="007E11A3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C608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884</w:t>
            </w:r>
            <w:r w:rsidR="007C608D">
              <w:rPr>
                <w:rFonts w:asciiTheme="minorHAnsi" w:hAnsiTheme="minorHAnsi" w:cstheme="minorHAnsi"/>
              </w:rPr>
              <w:t>*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4F378737" w:rsidR="00CC0281" w:rsidRPr="00343DC9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9EE138" w:rsidR="00CC0281" w:rsidRPr="00343DC9" w:rsidRDefault="007E11A3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5132D4BE" w:rsidR="00CC0281" w:rsidRPr="00343DC9" w:rsidRDefault="007E11A3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48D021FD" w:rsidR="00CC0281" w:rsidRPr="00E5454E" w:rsidRDefault="00982AC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984</w:t>
            </w:r>
            <w:r w:rsidR="007C608D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853E5D8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0740A82D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D44A296" w:rsidR="00CC0281" w:rsidRPr="00E5454E" w:rsidRDefault="00982AC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13E98CEF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01D066BF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26217" w:rsidRPr="00B363A9" w14:paraId="71DA83AF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C7DB" w14:textId="32192968" w:rsidR="00C26217" w:rsidRPr="00E5454E" w:rsidRDefault="00C26217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 NPO</w:t>
            </w:r>
            <w:r w:rsidR="00CD102E">
              <w:rPr>
                <w:rFonts w:asciiTheme="minorHAnsi" w:hAnsiTheme="minorHAnsi" w:cstheme="minorHAnsi"/>
              </w:rPr>
              <w:t xml:space="preserve"> – Green </w:t>
            </w:r>
            <w:proofErr w:type="spellStart"/>
            <w:r w:rsidR="00CD102E">
              <w:rPr>
                <w:rFonts w:asciiTheme="minorHAnsi" w:hAnsiTheme="minorHAnsi" w:cstheme="minorHAnsi"/>
              </w:rPr>
              <w:t>Deal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F37A" w14:textId="76C0E986" w:rsidR="00C26217" w:rsidRDefault="00C2621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C608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738</w:t>
            </w:r>
            <w:r w:rsidR="007C608D">
              <w:rPr>
                <w:rFonts w:asciiTheme="minorHAnsi" w:hAnsiTheme="minorHAnsi" w:cstheme="minorHAnsi"/>
              </w:rPr>
              <w:t>***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5DC5" w14:textId="11E05A0B" w:rsidR="00C26217" w:rsidRDefault="00C2621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2F39" w14:textId="12229B37" w:rsidR="00C26217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5F69F2E3" w:rsidR="00CC0281" w:rsidRPr="00E5454E" w:rsidRDefault="00C26217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4CF29319" w:rsidR="00CC0281" w:rsidRPr="00E5454E" w:rsidRDefault="00C26217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110203AC" w:rsidR="00CC0281" w:rsidRPr="00E5454E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22413EF" w:rsidR="00CC0281" w:rsidRPr="00E5454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13A30384" w:rsidR="00CC0281" w:rsidRPr="00E5454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6FCAA71B" w:rsidR="00CC0281" w:rsidRPr="00E5454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6209B76C" w:rsidR="00CC0281" w:rsidRPr="004D6E28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1183</w:t>
            </w:r>
            <w:r w:rsidR="00CC0281" w:rsidRPr="004D6E28">
              <w:rPr>
                <w:rFonts w:asciiTheme="minorHAnsi" w:hAnsiTheme="minorHAnsi" w:cstheme="minorHAnsi"/>
              </w:rPr>
              <w:t xml:space="preserve"> Projekty OP </w:t>
            </w:r>
            <w:r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F892310" w:rsidR="00CC0281" w:rsidRPr="004D6E28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728A138" w:rsidR="00CC0281" w:rsidRPr="004D6E28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0CBD9187" w:rsidR="00CC0281" w:rsidRPr="004D6E28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102E" w:rsidRPr="00B363A9" w14:paraId="19671BF6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1FF2" w14:textId="6B3981D0" w:rsidR="00CD102E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 Dotace ÚSC -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4ACD" w14:textId="65D2752F" w:rsidR="00CD102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63AD" w14:textId="61CBE2CE" w:rsidR="00CD102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F71" w14:textId="65C8D179" w:rsidR="00CD102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D67421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30465" w14:textId="77777777" w:rsidR="00CC0281" w:rsidRPr="00D6742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C58EE" w14:textId="7861F48C" w:rsidR="00CC0281" w:rsidRPr="00D67421" w:rsidRDefault="00D67421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3 137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C6BD1" w14:textId="179C26A1" w:rsidR="00CC0281" w:rsidRPr="00D67421" w:rsidRDefault="00D6742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3 526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10418" w14:textId="4CC028D6" w:rsidR="00CC0281" w:rsidRPr="00D67421" w:rsidRDefault="00D67421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389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723F006" w:rsidR="00BE5A36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7C8F4045" w:rsidR="00BE5A36" w:rsidRPr="004D6E28" w:rsidRDefault="00943A3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5E31FB1F" w:rsidR="00BE5A36" w:rsidRPr="004D6E28" w:rsidRDefault="00943A31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627F8DB5" w:rsidR="00CC0281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48EEF933" w:rsidR="00CC0281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157991F6" w:rsidR="00CC0281" w:rsidRPr="004D6E28" w:rsidRDefault="00943A31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50692A0" w:rsidR="003815AB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24F1436A" w:rsidR="003815AB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8D15EA8" w:rsidR="003815AB" w:rsidRPr="004D6E28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lastRenderedPageBreak/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61C177B" w:rsidR="00CC028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3495E918" w:rsidR="00CC028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3FB23556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750E17F2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1601 Dary </w:t>
            </w:r>
            <w:r w:rsidR="006A49BD" w:rsidRPr="00007E2F">
              <w:rPr>
                <w:rFonts w:asciiTheme="minorHAnsi" w:hAnsiTheme="minorHAnsi" w:cstheme="minorHAnsi"/>
              </w:rPr>
              <w:t>–</w:t>
            </w:r>
            <w:r w:rsidR="006A49BD">
              <w:rPr>
                <w:rFonts w:asciiTheme="minorHAnsi" w:hAnsiTheme="minorHAnsi" w:cstheme="minorHAnsi"/>
              </w:rPr>
              <w:t xml:space="preserve"> </w:t>
            </w:r>
            <w:r w:rsidRPr="00007E2F">
              <w:rPr>
                <w:rFonts w:asciiTheme="minorHAnsi" w:hAnsiTheme="minorHAnsi" w:cstheme="minorHAnsi"/>
              </w:rPr>
              <w:t>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159D31E" w:rsidR="00A83C44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368E4294" w:rsidR="00A83C44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0A9CF82B" w:rsidR="00A83C44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0BC68CED" w:rsidR="00CC0281" w:rsidRPr="00007E2F" w:rsidRDefault="00943A31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825FFC8" w:rsidR="00CC0281" w:rsidRPr="00007E2F" w:rsidRDefault="00943A31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44D2895A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6EFB8C8" w:rsidR="00CC0281" w:rsidRPr="00007E2F" w:rsidRDefault="00943A31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0F9954D5" w:rsidR="00CC0281" w:rsidRPr="00007E2F" w:rsidRDefault="00943A31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0858161F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4D80CC6" w:rsidR="00901601" w:rsidRPr="00007E2F" w:rsidRDefault="00943A3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GA</w:t>
            </w:r>
            <w:r w:rsidR="00901601" w:rsidRPr="00007E2F">
              <w:rPr>
                <w:rFonts w:asciiTheme="minorHAnsi" w:hAnsiTheme="minorHAnsi" w:cstheme="minorHAnsi"/>
              </w:rPr>
              <w:t xml:space="preserve">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726310B" w:rsidR="0090160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A006A03" w:rsidR="0090160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6CEFB0CE" w:rsidR="0090160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2149AE6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A51F" w14:textId="7F31264B" w:rsidR="00850401" w:rsidRDefault="008504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ostatní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7CC4" w14:textId="38B27F8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143" w14:textId="164EAADF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AAD0" w14:textId="62FDF218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26CC4C53" w:rsidR="00007E2F" w:rsidRPr="00007E2F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32B09377" w:rsidR="00007E2F" w:rsidRPr="00007E2F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3B15FFBE" w:rsidR="00007E2F" w:rsidRPr="00007E2F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5600E8C0" w:rsidR="00CC0281" w:rsidRPr="002D6DB2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BEDE796" w:rsidR="00CC0281" w:rsidRPr="002D6DB2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70DA5D86" w:rsidR="00CC0281" w:rsidRPr="002D6DB2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30EE1D3A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54EF" w14:textId="40F0318B" w:rsidR="00850401" w:rsidRPr="002D6DB2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8503 Konference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22FB" w14:textId="1161B5B0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AC9C" w14:textId="71160199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A3B4" w14:textId="197B6C8B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850401" w:rsidRPr="00B363A9" w14:paraId="35B717CD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BC8" w14:textId="7EF93E64" w:rsidR="00850401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8504 Dary na akce v doplňkové činnosti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475" w14:textId="1461B39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2D51" w14:textId="7A42C033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239C" w14:textId="6DD4536C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E170E5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8530 Ostatní doplňková činnost</w:t>
            </w:r>
            <w:r w:rsidR="00CC0281" w:rsidRPr="00E170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4ABB57C0" w:rsidR="00CC0281" w:rsidRPr="00E170E5" w:rsidRDefault="00E170E5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75D939E6" w:rsidR="00CC0281" w:rsidRPr="00E170E5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61F174AA" w:rsidR="00CC0281" w:rsidRPr="00E170E5" w:rsidRDefault="00E170E5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21</w:t>
            </w:r>
          </w:p>
        </w:tc>
      </w:tr>
    </w:tbl>
    <w:p w14:paraId="17C098B1" w14:textId="5FD4E2C7" w:rsidR="00EC335A" w:rsidRPr="00B363A9" w:rsidRDefault="007C608D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EC335A" w:rsidRPr="000814B6">
        <w:rPr>
          <w:rFonts w:asciiTheme="minorHAnsi" w:hAnsiTheme="minorHAnsi" w:cstheme="minorHAnsi"/>
          <w:sz w:val="20"/>
        </w:rPr>
        <w:t>Zůstatek z ukazatele A+K.</w:t>
      </w:r>
    </w:p>
    <w:p w14:paraId="52AE6EA1" w14:textId="58B1DA26" w:rsidR="00EC335A" w:rsidRDefault="007C608D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** </w:t>
      </w:r>
      <w:r w:rsidR="0050136A">
        <w:rPr>
          <w:rFonts w:asciiTheme="minorHAnsi" w:hAnsiTheme="minorHAnsi" w:cstheme="minorHAnsi"/>
          <w:sz w:val="20"/>
        </w:rPr>
        <w:t>Z toho č</w:t>
      </w:r>
      <w:r w:rsidR="00EC335A" w:rsidRPr="00E5454E">
        <w:rPr>
          <w:rFonts w:asciiTheme="minorHAnsi" w:hAnsiTheme="minorHAnsi" w:cstheme="minorHAnsi"/>
          <w:sz w:val="20"/>
        </w:rPr>
        <w:t xml:space="preserve">ástka ve výši </w:t>
      </w:r>
      <w:r w:rsidR="00982ACE">
        <w:rPr>
          <w:rFonts w:asciiTheme="minorHAnsi" w:hAnsiTheme="minorHAnsi" w:cstheme="minorHAnsi"/>
          <w:sz w:val="20"/>
        </w:rPr>
        <w:t>460</w:t>
      </w:r>
      <w:r w:rsidR="00EC335A" w:rsidRPr="00E5454E">
        <w:rPr>
          <w:rFonts w:asciiTheme="minorHAnsi" w:hAnsiTheme="minorHAnsi" w:cstheme="minorHAnsi"/>
          <w:sz w:val="20"/>
        </w:rPr>
        <w:t xml:space="preserve"> tis. Kč byla převedena do Fondu </w:t>
      </w:r>
      <w:r w:rsidR="00982ACE">
        <w:rPr>
          <w:rFonts w:asciiTheme="minorHAnsi" w:hAnsiTheme="minorHAnsi" w:cstheme="minorHAnsi"/>
          <w:sz w:val="20"/>
        </w:rPr>
        <w:t>provozních</w:t>
      </w:r>
      <w:r w:rsidR="00EC335A" w:rsidRPr="00E5454E">
        <w:rPr>
          <w:rFonts w:asciiTheme="minorHAnsi" w:hAnsiTheme="minorHAnsi" w:cstheme="minorHAnsi"/>
          <w:sz w:val="20"/>
        </w:rPr>
        <w:t xml:space="preserve">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982ACE">
        <w:rPr>
          <w:rFonts w:asciiTheme="minorHAnsi" w:hAnsiTheme="minorHAnsi" w:cstheme="minorHAnsi"/>
          <w:sz w:val="20"/>
        </w:rPr>
        <w:t>190</w:t>
      </w:r>
      <w:r w:rsidR="00EC335A" w:rsidRPr="00E5454E">
        <w:rPr>
          <w:rFonts w:asciiTheme="minorHAnsi" w:hAnsiTheme="minorHAnsi" w:cstheme="minorHAnsi"/>
          <w:sz w:val="20"/>
        </w:rPr>
        <w:t xml:space="preserve"> tis. Kč.</w:t>
      </w:r>
    </w:p>
    <w:p w14:paraId="5528CF28" w14:textId="4A1A091A" w:rsidR="00C26217" w:rsidRPr="00007E2F" w:rsidRDefault="007C608D" w:rsidP="00C26217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*** </w:t>
      </w:r>
      <w:r w:rsidR="00C26217"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C26217">
        <w:rPr>
          <w:rFonts w:asciiTheme="minorHAnsi" w:hAnsiTheme="minorHAnsi" w:cstheme="minorHAnsi"/>
          <w:sz w:val="20"/>
        </w:rPr>
        <w:t>870</w:t>
      </w:r>
      <w:r w:rsidR="00C26217" w:rsidRPr="00007E2F">
        <w:rPr>
          <w:rFonts w:asciiTheme="minorHAnsi" w:hAnsiTheme="minorHAnsi" w:cstheme="minorHAnsi"/>
          <w:sz w:val="20"/>
        </w:rPr>
        <w:t xml:space="preserve"> tis. Kč </w:t>
      </w:r>
      <w:r w:rsidR="00C26217">
        <w:rPr>
          <w:rFonts w:asciiTheme="minorHAnsi" w:hAnsiTheme="minorHAnsi" w:cstheme="minorHAnsi"/>
          <w:sz w:val="20"/>
        </w:rPr>
        <w:t>převedena do</w:t>
      </w:r>
      <w:r w:rsidR="00C26217" w:rsidRPr="00007E2F">
        <w:rPr>
          <w:rFonts w:asciiTheme="minorHAnsi" w:hAnsiTheme="minorHAnsi" w:cstheme="minorHAnsi"/>
          <w:sz w:val="20"/>
        </w:rPr>
        <w:t xml:space="preserve"> Fondu </w:t>
      </w:r>
      <w:r w:rsidR="00C26217">
        <w:rPr>
          <w:rFonts w:asciiTheme="minorHAnsi" w:hAnsiTheme="minorHAnsi" w:cstheme="minorHAnsi"/>
          <w:sz w:val="20"/>
        </w:rPr>
        <w:t>provozních</w:t>
      </w:r>
      <w:r w:rsidR="00C26217" w:rsidRPr="00007E2F">
        <w:rPr>
          <w:rFonts w:asciiTheme="minorHAnsi" w:hAnsiTheme="minorHAnsi" w:cstheme="minorHAnsi"/>
          <w:sz w:val="20"/>
        </w:rPr>
        <w:t xml:space="preserve"> prostředků.</w:t>
      </w:r>
    </w:p>
    <w:p w14:paraId="6EC559C7" w14:textId="77777777" w:rsidR="00C26217" w:rsidRPr="00B363A9" w:rsidRDefault="00C26217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</w:p>
    <w:p w14:paraId="39970FF9" w14:textId="77777777" w:rsidR="00C23675" w:rsidRPr="001D3CFE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2" w:name="_Toc198151795"/>
      <w:r w:rsidRPr="001D3CFE">
        <w:rPr>
          <w:rFonts w:asciiTheme="minorHAnsi" w:hAnsiTheme="minorHAnsi" w:cstheme="minorHAnsi"/>
        </w:rPr>
        <w:t>Finanční prostředky</w:t>
      </w:r>
      <w:r w:rsidR="00CC0281" w:rsidRPr="001D3CFE">
        <w:rPr>
          <w:rFonts w:asciiTheme="minorHAnsi" w:hAnsiTheme="minorHAnsi" w:cstheme="minorHAnsi"/>
        </w:rPr>
        <w:t xml:space="preserve"> a výsledek hospodaření</w:t>
      </w:r>
      <w:r w:rsidRPr="001D3CFE">
        <w:rPr>
          <w:rFonts w:asciiTheme="minorHAnsi" w:hAnsiTheme="minorHAnsi" w:cstheme="minorHAnsi"/>
        </w:rPr>
        <w:t xml:space="preserve"> </w:t>
      </w:r>
      <w:r w:rsidR="00452A0E" w:rsidRPr="001D3CFE">
        <w:rPr>
          <w:rFonts w:asciiTheme="minorHAnsi" w:hAnsiTheme="minorHAnsi" w:cstheme="minorHAnsi"/>
        </w:rPr>
        <w:t>FHS</w:t>
      </w:r>
      <w:bookmarkEnd w:id="22"/>
      <w:r w:rsidR="005C0230" w:rsidRPr="001D3CFE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2544B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5C9D2565" w14:textId="4D2F2237" w:rsidR="00CC0281" w:rsidRPr="00432480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Tento rozbor zahrnuje jednotlivé fondy F</w:t>
      </w:r>
      <w:r w:rsidR="00F70190" w:rsidRPr="00432480">
        <w:rPr>
          <w:rFonts w:asciiTheme="minorHAnsi" w:hAnsiTheme="minorHAnsi" w:cstheme="minorHAnsi"/>
        </w:rPr>
        <w:t>HS</w:t>
      </w:r>
      <w:r w:rsidR="00EE1FEF" w:rsidRPr="00432480">
        <w:rPr>
          <w:rFonts w:asciiTheme="minorHAnsi" w:hAnsiTheme="minorHAnsi" w:cstheme="minorHAnsi"/>
        </w:rPr>
        <w:t xml:space="preserve"> a jejich vývoj v roce 2024</w:t>
      </w:r>
      <w:r w:rsidRPr="00432480">
        <w:rPr>
          <w:rFonts w:asciiTheme="minorHAnsi" w:hAnsiTheme="minorHAnsi" w:cstheme="minorHAnsi"/>
        </w:rPr>
        <w:t xml:space="preserve">. Nejvýznamnější pohyb </w:t>
      </w:r>
      <w:r w:rsidR="00563B98" w:rsidRPr="00432480">
        <w:rPr>
          <w:rFonts w:asciiTheme="minorHAnsi" w:hAnsiTheme="minorHAnsi" w:cstheme="minorHAnsi"/>
        </w:rPr>
        <w:t>f</w:t>
      </w:r>
      <w:r w:rsidR="00432480" w:rsidRPr="00432480">
        <w:rPr>
          <w:rFonts w:asciiTheme="minorHAnsi" w:hAnsiTheme="minorHAnsi" w:cstheme="minorHAnsi"/>
        </w:rPr>
        <w:t>inančních prostředků v roce 2024</w:t>
      </w:r>
      <w:r w:rsidRPr="00432480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432480" w:rsidRPr="00432480">
        <w:rPr>
          <w:rFonts w:asciiTheme="minorHAnsi" w:hAnsiTheme="minorHAnsi" w:cstheme="minorHAnsi"/>
        </w:rPr>
        <w:t>7 263</w:t>
      </w:r>
      <w:r w:rsidRPr="00432480">
        <w:rPr>
          <w:rFonts w:asciiTheme="minorHAnsi" w:hAnsiTheme="minorHAnsi" w:cstheme="minorHAnsi"/>
        </w:rPr>
        <w:t xml:space="preserve"> tis. Kč a čerpán ve výši </w:t>
      </w:r>
      <w:r w:rsidR="00432480" w:rsidRPr="00432480">
        <w:rPr>
          <w:rFonts w:asciiTheme="minorHAnsi" w:hAnsiTheme="minorHAnsi" w:cstheme="minorHAnsi"/>
        </w:rPr>
        <w:t>15 076</w:t>
      </w:r>
      <w:r w:rsidRPr="00432480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432480" w:rsidRDefault="00CC0281" w:rsidP="00CC0281">
      <w:pPr>
        <w:rPr>
          <w:rFonts w:asciiTheme="minorHAnsi" w:hAnsiTheme="minorHAnsi" w:cstheme="minorHAnsi"/>
        </w:rPr>
      </w:pPr>
    </w:p>
    <w:p w14:paraId="5C857B97" w14:textId="2A0D31CC" w:rsidR="0072544B" w:rsidRPr="00432480" w:rsidRDefault="00CC0281" w:rsidP="0072544B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stav finanční</w:t>
      </w:r>
      <w:r w:rsidR="008A65B4" w:rsidRPr="00432480">
        <w:rPr>
          <w:rFonts w:asciiTheme="minorHAnsi" w:hAnsiTheme="minorHAnsi" w:cstheme="minorHAnsi"/>
        </w:rPr>
        <w:t>ch</w:t>
      </w:r>
      <w:r w:rsidRPr="00432480">
        <w:rPr>
          <w:rFonts w:asciiTheme="minorHAnsi" w:hAnsiTheme="minorHAnsi" w:cstheme="minorHAnsi"/>
        </w:rPr>
        <w:t xml:space="preserve"> prostředků a pohyby v jednotlivých fondech </w:t>
      </w:r>
      <w:r w:rsidR="00312A41" w:rsidRPr="00432480">
        <w:rPr>
          <w:rFonts w:asciiTheme="minorHAnsi" w:hAnsiTheme="minorHAnsi" w:cstheme="minorHAnsi"/>
        </w:rPr>
        <w:t>v období mezi</w:t>
      </w:r>
      <w:r w:rsidR="00EF7B3C" w:rsidRPr="00432480">
        <w:rPr>
          <w:rFonts w:asciiTheme="minorHAnsi" w:hAnsiTheme="minorHAnsi" w:cstheme="minorHAnsi"/>
        </w:rPr>
        <w:t> 1. 1. </w:t>
      </w:r>
      <w:r w:rsidR="00432480" w:rsidRPr="00432480">
        <w:rPr>
          <w:rFonts w:asciiTheme="minorHAnsi" w:hAnsiTheme="minorHAnsi" w:cstheme="minorHAnsi"/>
        </w:rPr>
        <w:t>2024</w:t>
      </w:r>
      <w:r w:rsidR="00312A41" w:rsidRPr="00432480">
        <w:rPr>
          <w:rFonts w:asciiTheme="minorHAnsi" w:hAnsiTheme="minorHAnsi" w:cstheme="minorHAnsi"/>
        </w:rPr>
        <w:t xml:space="preserve"> a </w:t>
      </w:r>
      <w:r w:rsidR="00432480" w:rsidRPr="00432480">
        <w:rPr>
          <w:rFonts w:asciiTheme="minorHAnsi" w:hAnsiTheme="minorHAnsi" w:cstheme="minorHAnsi"/>
        </w:rPr>
        <w:t>31. 12. 2024</w:t>
      </w:r>
      <w:r w:rsidR="0072544B" w:rsidRPr="00432480">
        <w:rPr>
          <w:rFonts w:asciiTheme="minorHAnsi" w:hAnsiTheme="minorHAnsi" w:cstheme="minorHAnsi"/>
        </w:rPr>
        <w:t>.</w:t>
      </w:r>
    </w:p>
    <w:p w14:paraId="06627258" w14:textId="36EA7B35" w:rsidR="00CC0281" w:rsidRPr="00432480" w:rsidRDefault="00CC0281" w:rsidP="00F0490C">
      <w:pPr>
        <w:ind w:left="6382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72544B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BC679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566B9EE4" w:rsidR="00CC0281" w:rsidRPr="00BC6790" w:rsidRDefault="00BC6790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2587D8D7" w:rsidR="00CC0281" w:rsidRPr="00BC6790" w:rsidRDefault="00CC0281" w:rsidP="00BC6790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 w:rsidRPr="00BC6790">
              <w:rPr>
                <w:rFonts w:asciiTheme="minorHAnsi" w:hAnsiTheme="minorHAnsi" w:cstheme="minorHAnsi"/>
                <w:color w:val="FFFFFF" w:themeColor="background1"/>
              </w:rPr>
              <w:t>2</w:t>
            </w:r>
            <w:r w:rsidR="00BC6790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Pr="00BC679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72544B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BC6790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C6790">
              <w:rPr>
                <w:rFonts w:asciiTheme="minorHAnsi" w:hAnsiTheme="minorHAnsi" w:cstheme="minorHAnsi"/>
              </w:rPr>
              <w:t>Fond provozních prostředků</w:t>
            </w:r>
            <w:r w:rsidRPr="00BC6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2F99E354" w:rsidR="00CC0281" w:rsidRPr="00BC6790" w:rsidRDefault="00BC679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F830001" w:rsidR="00CC0281" w:rsidRPr="00BC6790" w:rsidRDefault="00920543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7 263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4A26567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15 076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78B04D50" w:rsidR="00CC0281" w:rsidRPr="00BC6790" w:rsidRDefault="00BC6790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112 123</w:t>
            </w:r>
          </w:p>
        </w:tc>
      </w:tr>
      <w:tr w:rsidR="00CC0281" w:rsidRPr="0072544B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66B00F0B" w:rsidR="00CC0281" w:rsidRPr="00BC6790" w:rsidRDefault="00920543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9 537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17A4D03A" w:rsidR="00CC0281" w:rsidRPr="00BC6790" w:rsidRDefault="00BD73DF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1A1904A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397B75C9" w:rsidR="00CC0281" w:rsidRPr="00BC6790" w:rsidRDefault="00920543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9 404</w:t>
            </w:r>
          </w:p>
        </w:tc>
      </w:tr>
      <w:tr w:rsidR="00CC0281" w:rsidRPr="0072544B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CAFA190" w:rsidR="00CC0281" w:rsidRPr="00BC6790" w:rsidRDefault="00BD73DF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5B1747A0" w:rsidR="00CC0281" w:rsidRPr="00BC6790" w:rsidRDefault="003654C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2070EEE8" w:rsidR="00CC0281" w:rsidRPr="00BC6790" w:rsidRDefault="003654C4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62E0D34D" w:rsidR="00CC0281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</w:tr>
      <w:tr w:rsidR="00154C3D" w:rsidRPr="0072544B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BC6790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407935B8" w:rsidR="00154C3D" w:rsidRPr="00BC6790" w:rsidRDefault="003654C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324EEA72" w:rsidR="00154C3D" w:rsidRPr="00BC6790" w:rsidRDefault="009061B8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FC0756E" w:rsidR="00154C3D" w:rsidRPr="00BC6790" w:rsidRDefault="003654C4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9061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65E615D2" w:rsidR="00154C3D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893</w:t>
            </w:r>
          </w:p>
        </w:tc>
      </w:tr>
    </w:tbl>
    <w:p w14:paraId="287BBDA9" w14:textId="77777777" w:rsidR="00CC0281" w:rsidRPr="0072544B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7F3771BA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hospodářský výsledek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 </w:t>
      </w:r>
      <w:r w:rsidR="00F70190" w:rsidRPr="00432480">
        <w:rPr>
          <w:rFonts w:asciiTheme="minorHAnsi" w:hAnsiTheme="minorHAnsi" w:cstheme="minorHAnsi"/>
        </w:rPr>
        <w:t xml:space="preserve">(HV) </w:t>
      </w:r>
      <w:r w:rsidRPr="00432480">
        <w:rPr>
          <w:rFonts w:asciiTheme="minorHAnsi" w:hAnsiTheme="minorHAnsi" w:cstheme="minorHAnsi"/>
        </w:rPr>
        <w:t>z hlavní a doplňkové činnosti</w:t>
      </w:r>
      <w:r w:rsidR="00432480" w:rsidRPr="00432480">
        <w:rPr>
          <w:rFonts w:asciiTheme="minorHAnsi" w:hAnsiTheme="minorHAnsi" w:cstheme="minorHAnsi"/>
        </w:rPr>
        <w:t xml:space="preserve"> za rok 2024</w:t>
      </w:r>
      <w:r w:rsidRPr="00432480">
        <w:rPr>
          <w:rFonts w:asciiTheme="minorHAnsi" w:hAnsiTheme="minorHAnsi" w:cstheme="minorHAnsi"/>
        </w:rPr>
        <w:t>.</w:t>
      </w:r>
    </w:p>
    <w:p w14:paraId="459DF825" w14:textId="610AE68F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  <w:t xml:space="preserve"> </w:t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432480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43248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180F2728" w:rsidR="00CC0281" w:rsidRPr="00432480" w:rsidRDefault="00432480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4548FDBD" w:rsidR="00CC0281" w:rsidRPr="00432480" w:rsidRDefault="0043248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266D0A5" w:rsidR="00CC0281" w:rsidRPr="005E0754" w:rsidRDefault="00432480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1 412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98151796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23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1BEA537A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72544B">
        <w:rPr>
          <w:rFonts w:asciiTheme="minorHAnsi" w:hAnsiTheme="minorHAnsi" w:cstheme="minorHAnsi"/>
        </w:rPr>
        <w:t xml:space="preserve"> v roce 2024</w:t>
      </w:r>
      <w:r w:rsidRPr="005E0754">
        <w:rPr>
          <w:rFonts w:asciiTheme="minorHAnsi" w:hAnsiTheme="minorHAnsi" w:cstheme="minorHAnsi"/>
        </w:rPr>
        <w:t>.</w:t>
      </w:r>
    </w:p>
    <w:p w14:paraId="11BCF5F1" w14:textId="681DBAD7" w:rsidR="00CC0281" w:rsidRPr="005E0754" w:rsidRDefault="00CC0281" w:rsidP="007266D3">
      <w:pPr>
        <w:spacing w:after="0" w:line="259" w:lineRule="auto"/>
        <w:ind w:left="7090" w:firstLine="698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71BE1CA0" w:rsidR="00CC0281" w:rsidRPr="005E0754" w:rsidRDefault="00CC0281" w:rsidP="00665FBC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665FBC">
              <w:rPr>
                <w:rFonts w:asciiTheme="minorHAnsi" w:hAnsiTheme="minorHAnsi" w:cstheme="minorHAnsi"/>
                <w:color w:val="FFFFFF" w:themeColor="background1"/>
              </w:rPr>
              <w:t>4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57F04213" w:rsidR="00CC0281" w:rsidRPr="005E0754" w:rsidRDefault="00665FBC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16 563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4DAE566" w:rsidR="00CC0281" w:rsidRPr="005E0754" w:rsidRDefault="00665FBC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2023 došlo v roce 2024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16,13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="00AD32C7"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2 301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</w:t>
      </w:r>
      <w:r w:rsidR="00AD32C7" w:rsidRPr="005E0754">
        <w:rPr>
          <w:rFonts w:asciiTheme="minorHAnsi" w:hAnsiTheme="minorHAnsi" w:cstheme="minorHAnsi"/>
        </w:rPr>
        <w:t>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="00AD32C7" w:rsidRPr="005E0754">
        <w:rPr>
          <w:rFonts w:ascii="Calibri" w:hAnsi="Calibri"/>
        </w:rPr>
        <w:t xml:space="preserve">je způsobeno </w:t>
      </w:r>
      <w:r>
        <w:rPr>
          <w:rFonts w:ascii="Calibri" w:hAnsi="Calibri"/>
        </w:rPr>
        <w:t xml:space="preserve">zejména </w:t>
      </w:r>
      <w:r w:rsidR="00AD32C7" w:rsidRPr="005E0754">
        <w:rPr>
          <w:rFonts w:ascii="Calibri" w:hAnsi="Calibri"/>
        </w:rPr>
        <w:t xml:space="preserve">tím, že </w:t>
      </w:r>
      <w:r>
        <w:rPr>
          <w:rFonts w:ascii="Calibri" w:hAnsi="Calibri"/>
        </w:rPr>
        <w:t xml:space="preserve">skončila finanční podpora </w:t>
      </w:r>
      <w:r w:rsidR="00AD32C7" w:rsidRPr="005E0754">
        <w:rPr>
          <w:rFonts w:ascii="Calibri" w:hAnsi="Calibri"/>
        </w:rPr>
        <w:t>na</w:t>
      </w:r>
      <w:r w:rsidR="00746CE7">
        <w:rPr>
          <w:rFonts w:ascii="Calibri" w:hAnsi="Calibri"/>
        </w:rPr>
        <w:t xml:space="preserve"> příspěvek na mimořádný růst cen energií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746CE7">
        <w:rPr>
          <w:rFonts w:asciiTheme="minorHAnsi" w:hAnsiTheme="minorHAnsi" w:cstheme="minorHAnsi"/>
        </w:rPr>
        <w:t>jší provozní náklady za rok 2024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4E31011C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</w:t>
      </w:r>
      <w:r w:rsidR="00746CE7">
        <w:rPr>
          <w:rFonts w:asciiTheme="minorHAnsi" w:hAnsiTheme="minorHAnsi" w:cstheme="minorHAnsi"/>
        </w:rPr>
        <w:t>11 188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746CE7">
        <w:rPr>
          <w:rFonts w:asciiTheme="minorHAnsi" w:hAnsiTheme="minorHAnsi" w:cstheme="minorHAnsi"/>
        </w:rPr>
        <w:t>zvýšení oproti roku 2023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746CE7">
        <w:rPr>
          <w:rFonts w:asciiTheme="minorHAnsi" w:hAnsiTheme="minorHAnsi" w:cstheme="minorHAnsi"/>
        </w:rPr>
        <w:t>3 413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2364B420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746CE7">
        <w:rPr>
          <w:rFonts w:asciiTheme="minorHAnsi" w:hAnsiTheme="minorHAnsi" w:cstheme="minorHAnsi"/>
        </w:rPr>
        <w:t>418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45F5A762" w14:textId="7FD6890B" w:rsidR="00CC0281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518 (ostatní služby) ve výši 1 </w:t>
      </w:r>
      <w:r w:rsidR="00746CE7">
        <w:rPr>
          <w:rFonts w:asciiTheme="minorHAnsi" w:hAnsiTheme="minorHAnsi" w:cstheme="minorHAnsi"/>
        </w:rPr>
        <w:t>623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</w:t>
      </w:r>
      <w:r w:rsidR="00746CE7">
        <w:rPr>
          <w:rFonts w:asciiTheme="minorHAnsi" w:hAnsiTheme="minorHAnsi" w:cstheme="minorHAnsi"/>
        </w:rPr>
        <w:t xml:space="preserve"> inzerci, reprografické služby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7C233CD4" w14:textId="77777777" w:rsidR="005E5D27" w:rsidRPr="005E0754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447E3F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98151797"/>
      <w:r w:rsidRPr="00447E3F">
        <w:rPr>
          <w:rFonts w:asciiTheme="minorHAnsi" w:hAnsiTheme="minorHAnsi" w:cstheme="minorHAnsi"/>
        </w:rPr>
        <w:t xml:space="preserve">Osobní náklady </w:t>
      </w:r>
      <w:r w:rsidR="00636C38" w:rsidRPr="00447E3F">
        <w:rPr>
          <w:rFonts w:asciiTheme="minorHAnsi" w:hAnsiTheme="minorHAnsi" w:cstheme="minorHAnsi"/>
        </w:rPr>
        <w:t>FHS</w:t>
      </w:r>
      <w:bookmarkEnd w:id="24"/>
    </w:p>
    <w:p w14:paraId="5F4D7A80" w14:textId="07BEC30F" w:rsidR="00BA289C" w:rsidRPr="00901EA2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  <w:highlight w:val="yellow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01EA2">
        <w:rPr>
          <w:rFonts w:asciiTheme="minorHAnsi" w:hAnsiTheme="minorHAnsi" w:cstheme="minorHAnsi"/>
        </w:rPr>
        <w:t>24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01EA2">
        <w:rPr>
          <w:rFonts w:asciiTheme="minorHAnsi" w:hAnsiTheme="minorHAnsi" w:cstheme="minorHAnsi"/>
          <w:b/>
        </w:rPr>
        <w:t>91 451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Podíl dohod o pracovní činnosti a </w:t>
      </w:r>
      <w:r w:rsidR="0012374B" w:rsidRPr="00190BC8">
        <w:rPr>
          <w:rFonts w:asciiTheme="minorHAnsi" w:hAnsiTheme="minorHAnsi" w:cstheme="minorHAnsi"/>
        </w:rPr>
        <w:t xml:space="preserve">dohod </w:t>
      </w:r>
      <w:r w:rsidR="00BA289C" w:rsidRPr="00190BC8">
        <w:rPr>
          <w:rFonts w:asciiTheme="minorHAnsi" w:hAnsiTheme="minorHAnsi" w:cstheme="minorHAnsi"/>
        </w:rPr>
        <w:t>o</w:t>
      </w:r>
      <w:r w:rsidR="0012374B" w:rsidRPr="00190BC8">
        <w:rPr>
          <w:rFonts w:asciiTheme="minorHAnsi" w:hAnsiTheme="minorHAnsi" w:cstheme="minorHAnsi"/>
        </w:rPr>
        <w:t> </w:t>
      </w:r>
      <w:r w:rsidR="008B0C2F" w:rsidRPr="00190BC8">
        <w:rPr>
          <w:rFonts w:asciiTheme="minorHAnsi" w:hAnsiTheme="minorHAnsi" w:cstheme="minorHAnsi"/>
        </w:rPr>
        <w:t xml:space="preserve">provedení práce činí </w:t>
      </w:r>
      <w:r w:rsidR="009513EB" w:rsidRPr="00190BC8">
        <w:rPr>
          <w:rFonts w:asciiTheme="minorHAnsi" w:hAnsiTheme="minorHAnsi" w:cstheme="minorHAnsi"/>
        </w:rPr>
        <w:t>3,</w:t>
      </w:r>
      <w:r w:rsidR="00190BC8" w:rsidRPr="00190BC8">
        <w:rPr>
          <w:rFonts w:asciiTheme="minorHAnsi" w:hAnsiTheme="minorHAnsi" w:cstheme="minorHAnsi"/>
        </w:rPr>
        <w:t>49</w:t>
      </w:r>
      <w:r w:rsidR="008330DC" w:rsidRPr="00190BC8">
        <w:rPr>
          <w:rFonts w:asciiTheme="minorHAnsi" w:hAnsiTheme="minorHAnsi" w:cstheme="minorHAnsi"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% </w:t>
      </w:r>
      <w:r w:rsidR="0012374B" w:rsidRPr="00190BC8">
        <w:rPr>
          <w:rFonts w:asciiTheme="minorHAnsi" w:hAnsiTheme="minorHAnsi" w:cstheme="minorHAnsi"/>
        </w:rPr>
        <w:t>z</w:t>
      </w:r>
      <w:r w:rsidR="00BA289C" w:rsidRPr="00190BC8">
        <w:rPr>
          <w:rFonts w:asciiTheme="minorHAnsi" w:hAnsiTheme="minorHAnsi" w:cstheme="minorHAnsi"/>
        </w:rPr>
        <w:t xml:space="preserve"> celkových mzdových náklad</w:t>
      </w:r>
      <w:r w:rsidR="0012374B" w:rsidRPr="00190BC8">
        <w:rPr>
          <w:rFonts w:asciiTheme="minorHAnsi" w:hAnsiTheme="minorHAnsi" w:cstheme="minorHAnsi"/>
        </w:rPr>
        <w:t>ů</w:t>
      </w:r>
      <w:r w:rsidR="00BA289C" w:rsidRPr="00190BC8">
        <w:rPr>
          <w:rFonts w:asciiTheme="minorHAnsi" w:hAnsiTheme="minorHAnsi" w:cstheme="minorHAnsi"/>
        </w:rPr>
        <w:t xml:space="preserve"> v případě zdroje 1100.</w:t>
      </w:r>
      <w:r w:rsidR="00356E46" w:rsidRPr="00190BC8">
        <w:rPr>
          <w:rFonts w:asciiTheme="minorHAnsi" w:hAnsiTheme="minorHAnsi" w:cstheme="minorHAnsi"/>
        </w:rPr>
        <w:t xml:space="preserve"> </w:t>
      </w:r>
      <w:r w:rsidR="00012125" w:rsidRPr="00190BC8">
        <w:rPr>
          <w:rFonts w:asciiTheme="minorHAnsi" w:hAnsiTheme="minorHAnsi" w:cstheme="minorHAnsi"/>
        </w:rPr>
        <w:t>Mzdové náklady</w:t>
      </w:r>
      <w:r w:rsidR="0095707E" w:rsidRPr="00190BC8">
        <w:rPr>
          <w:rFonts w:asciiTheme="minorHAnsi" w:hAnsiTheme="minorHAnsi" w:cstheme="minorHAnsi"/>
        </w:rPr>
        <w:t xml:space="preserve"> ve vybraných zdrojích</w:t>
      </w:r>
      <w:r w:rsidR="00012125" w:rsidRPr="00190BC8">
        <w:rPr>
          <w:rFonts w:asciiTheme="minorHAnsi" w:hAnsiTheme="minorHAnsi" w:cstheme="minorHAnsi"/>
        </w:rPr>
        <w:t xml:space="preserve"> bez dohod uzavřených dle § 75 a § 76 zákoníku práce</w:t>
      </w:r>
      <w:r w:rsidR="00190BC8" w:rsidRPr="00190BC8">
        <w:rPr>
          <w:rFonts w:asciiTheme="minorHAnsi" w:hAnsiTheme="minorHAnsi" w:cstheme="minorHAnsi"/>
        </w:rPr>
        <w:t xml:space="preserve"> se v roce 2024</w:t>
      </w:r>
      <w:r w:rsidR="008B0C2F" w:rsidRPr="00190BC8">
        <w:rPr>
          <w:rFonts w:asciiTheme="minorHAnsi" w:hAnsiTheme="minorHAnsi" w:cstheme="minorHAnsi"/>
        </w:rPr>
        <w:t xml:space="preserve"> zvýšily oproti</w:t>
      </w:r>
      <w:r w:rsidR="00190BC8" w:rsidRPr="00190BC8">
        <w:rPr>
          <w:rFonts w:asciiTheme="minorHAnsi" w:hAnsiTheme="minorHAnsi" w:cstheme="minorHAnsi"/>
        </w:rPr>
        <w:t xml:space="preserve"> roku 2023</w:t>
      </w:r>
      <w:r w:rsidR="00012125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5 753</w:t>
      </w:r>
      <w:r w:rsidR="00012125" w:rsidRPr="00190BC8">
        <w:rPr>
          <w:rFonts w:asciiTheme="minorHAnsi" w:hAnsiTheme="minorHAnsi" w:cstheme="minorHAnsi"/>
          <w:b/>
        </w:rPr>
        <w:t xml:space="preserve"> tis. Kč</w:t>
      </w:r>
      <w:r w:rsidR="00012125" w:rsidRPr="00190BC8">
        <w:rPr>
          <w:rFonts w:asciiTheme="minorHAnsi" w:hAnsiTheme="minorHAnsi" w:cstheme="minorHAnsi"/>
        </w:rPr>
        <w:t>.</w:t>
      </w:r>
      <w:r w:rsidR="00B0136E" w:rsidRPr="00190BC8">
        <w:rPr>
          <w:rFonts w:asciiTheme="minorHAnsi" w:hAnsiTheme="minorHAnsi" w:cstheme="minorHAnsi"/>
        </w:rPr>
        <w:t xml:space="preserve"> Celkové osobní náklady</w:t>
      </w:r>
      <w:r w:rsidR="006E239C" w:rsidRPr="00190BC8">
        <w:rPr>
          <w:rFonts w:asciiTheme="minorHAnsi" w:hAnsiTheme="minorHAnsi" w:cstheme="minorHAnsi"/>
        </w:rPr>
        <w:t xml:space="preserve"> ve vybraných zdrojích se zvýšily</w:t>
      </w:r>
      <w:r w:rsidR="00190BC8" w:rsidRPr="00190BC8">
        <w:rPr>
          <w:rFonts w:asciiTheme="minorHAnsi" w:hAnsiTheme="minorHAnsi" w:cstheme="minorHAnsi"/>
        </w:rPr>
        <w:t xml:space="preserve"> v roce 2024</w:t>
      </w:r>
      <w:r w:rsidR="00B0136E" w:rsidRPr="00190BC8">
        <w:rPr>
          <w:rFonts w:asciiTheme="minorHAnsi" w:hAnsiTheme="minorHAnsi" w:cstheme="minorHAnsi"/>
        </w:rPr>
        <w:t xml:space="preserve"> oproti roku </w:t>
      </w:r>
      <w:r w:rsidR="00190BC8" w:rsidRPr="00190BC8">
        <w:rPr>
          <w:rFonts w:asciiTheme="minorHAnsi" w:hAnsiTheme="minorHAnsi" w:cstheme="minorHAnsi"/>
        </w:rPr>
        <w:t>2023</w:t>
      </w:r>
      <w:r w:rsidR="006E239C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7 338</w:t>
      </w:r>
      <w:r w:rsidR="006E239C" w:rsidRPr="00190BC8">
        <w:rPr>
          <w:rFonts w:asciiTheme="minorHAnsi" w:hAnsiTheme="minorHAnsi" w:cstheme="minorHAnsi"/>
          <w:b/>
        </w:rPr>
        <w:t xml:space="preserve"> tis. Kč</w:t>
      </w:r>
      <w:r w:rsidR="006E239C" w:rsidRPr="00190BC8">
        <w:rPr>
          <w:rFonts w:asciiTheme="minorHAnsi" w:hAnsiTheme="minorHAnsi" w:cstheme="minorHAnsi"/>
        </w:rPr>
        <w:t>.</w:t>
      </w:r>
    </w:p>
    <w:p w14:paraId="18683EA4" w14:textId="17B75C05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190BC8">
        <w:rPr>
          <w:rFonts w:asciiTheme="minorHAnsi" w:hAnsiTheme="minorHAnsi" w:cstheme="minorHAnsi"/>
        </w:rPr>
        <w:t>Z vybraných zdrojů se zdroj 1100 podílí na pokrytí ce</w:t>
      </w:r>
      <w:r w:rsidR="00CC0281" w:rsidRPr="00190BC8">
        <w:rPr>
          <w:rFonts w:asciiTheme="minorHAnsi" w:hAnsiTheme="minorHAnsi" w:cstheme="minorHAnsi"/>
        </w:rPr>
        <w:t xml:space="preserve">lkových osobních </w:t>
      </w:r>
      <w:r w:rsidR="005C44ED" w:rsidRPr="00190BC8">
        <w:rPr>
          <w:rFonts w:asciiTheme="minorHAnsi" w:hAnsiTheme="minorHAnsi" w:cstheme="minorHAnsi"/>
        </w:rPr>
        <w:t xml:space="preserve">nákladů </w:t>
      </w:r>
      <w:r w:rsidR="00CC0281" w:rsidRPr="00190BC8">
        <w:rPr>
          <w:rFonts w:asciiTheme="minorHAnsi" w:hAnsiTheme="minorHAnsi" w:cstheme="minorHAnsi"/>
        </w:rPr>
        <w:t>z</w:t>
      </w:r>
      <w:r w:rsidR="00190BC8" w:rsidRPr="00190BC8">
        <w:rPr>
          <w:rFonts w:asciiTheme="minorHAnsi" w:hAnsiTheme="minorHAnsi" w:cstheme="minorHAnsi"/>
        </w:rPr>
        <w:t> 84,27</w:t>
      </w:r>
      <w:r w:rsidR="00B06A3C" w:rsidRPr="00190BC8">
        <w:rPr>
          <w:rFonts w:asciiTheme="minorHAnsi" w:hAnsiTheme="minorHAnsi" w:cstheme="minorHAnsi"/>
        </w:rPr>
        <w:t xml:space="preserve"> %</w:t>
      </w:r>
      <w:r w:rsidRPr="00190BC8">
        <w:rPr>
          <w:rFonts w:asciiTheme="minorHAnsi" w:hAnsiTheme="minorHAnsi" w:cstheme="minorHAnsi"/>
        </w:rPr>
        <w:t xml:space="preserve">. </w:t>
      </w:r>
      <w:r w:rsidR="00BA289C" w:rsidRPr="00190BC8">
        <w:rPr>
          <w:rFonts w:asciiTheme="minorHAnsi" w:hAnsiTheme="minorHAnsi" w:cstheme="minorHAnsi"/>
        </w:rPr>
        <w:t>Tabulka níže znázorňuje rozpis mzdových nákladů dle</w:t>
      </w:r>
      <w:r w:rsidR="00BB2EEC" w:rsidRPr="00190BC8">
        <w:rPr>
          <w:rFonts w:asciiTheme="minorHAnsi" w:hAnsiTheme="minorHAnsi" w:cstheme="minorHAnsi"/>
        </w:rPr>
        <w:t> </w:t>
      </w:r>
      <w:r w:rsidR="00BA289C" w:rsidRPr="00190BC8">
        <w:rPr>
          <w:rFonts w:asciiTheme="minorHAnsi" w:hAnsiTheme="minorHAnsi" w:cstheme="minorHAnsi"/>
        </w:rPr>
        <w:t xml:space="preserve">nejvýznamnějších </w:t>
      </w:r>
      <w:r w:rsidR="009B1253" w:rsidRPr="00190BC8">
        <w:rPr>
          <w:rFonts w:asciiTheme="minorHAnsi" w:hAnsiTheme="minorHAnsi" w:cstheme="minorHAnsi"/>
        </w:rPr>
        <w:t>dílčích zdrojů financování.</w:t>
      </w:r>
    </w:p>
    <w:p w14:paraId="7051E535" w14:textId="10D327B4" w:rsidR="007C608D" w:rsidRDefault="007C608D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A3249C6" w14:textId="58C4D055" w:rsidR="00280F2F" w:rsidRDefault="00356C32" w:rsidP="00AB13B7">
      <w:pPr>
        <w:ind w:left="0" w:right="4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</w:p>
    <w:p w14:paraId="36FDD9FC" w14:textId="77777777" w:rsidR="00280F2F" w:rsidRDefault="00280F2F" w:rsidP="00AF0619">
      <w:pPr>
        <w:ind w:left="6382" w:right="4" w:firstLine="698"/>
        <w:jc w:val="center"/>
        <w:rPr>
          <w:rFonts w:asciiTheme="minorHAnsi" w:hAnsiTheme="minorHAnsi" w:cstheme="minorHAnsi"/>
        </w:rPr>
        <w:sectPr w:rsidR="00280F2F" w:rsidSect="000E42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11" w:footer="713" w:gutter="0"/>
          <w:cols w:space="708"/>
        </w:sectPr>
      </w:pPr>
    </w:p>
    <w:tbl>
      <w:tblPr>
        <w:tblW w:w="12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87"/>
        <w:gridCol w:w="785"/>
        <w:gridCol w:w="785"/>
        <w:gridCol w:w="853"/>
      </w:tblGrid>
      <w:tr w:rsidR="00280F2F" w:rsidRPr="00D50C65" w14:paraId="6774D0C6" w14:textId="77777777" w:rsidTr="00AB13B7">
        <w:trPr>
          <w:trHeight w:val="978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B3B3ED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4D0A4CE2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F346660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8483669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455C2333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ABF392F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501C23A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F84F22C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A4B90A6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F90427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F210975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174BDAC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69D462D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A9A0C42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42D506A2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016C59B6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8530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34BA3AF6" w14:textId="77777777" w:rsidR="00280F2F" w:rsidRPr="00D50C65" w:rsidRDefault="00280F2F" w:rsidP="007D72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280F2F" w:rsidRPr="00D50C65" w14:paraId="1A19C24E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265E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ABA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244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2A6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B7B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81B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EC5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177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9AE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8C3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4DA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15E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F9A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2 426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B1D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8E9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33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10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34 227</w:t>
            </w:r>
          </w:p>
        </w:tc>
      </w:tr>
      <w:tr w:rsidR="00280F2F" w:rsidRPr="00D50C65" w14:paraId="61309980" w14:textId="77777777" w:rsidTr="00AB13B7">
        <w:trPr>
          <w:trHeight w:val="72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CFB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106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57B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650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0F0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C7A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F1D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8F8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100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D2E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A7E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4DC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33E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7E6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4DC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A30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EB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14 465</w:t>
            </w:r>
          </w:p>
        </w:tc>
      </w:tr>
      <w:tr w:rsidR="00280F2F" w:rsidRPr="00D50C65" w14:paraId="19384726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9A1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4F1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274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A78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BC3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5F4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0F0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FFB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111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F5B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87C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B10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D5D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A9C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E72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95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A6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</w:tr>
      <w:tr w:rsidR="00280F2F" w:rsidRPr="00D50C65" w14:paraId="59C18382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4A35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9F1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16 929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BB9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32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DE2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6D9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F12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411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7DC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146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CC5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1BA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133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D3E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03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AA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06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18 399</w:t>
            </w:r>
          </w:p>
        </w:tc>
      </w:tr>
      <w:tr w:rsidR="00280F2F" w:rsidRPr="00D50C65" w14:paraId="2485DB8A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0A7C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255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62D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524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6F6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18C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A49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089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050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F9F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694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9B9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FBC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D30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06F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088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FD1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</w:tr>
      <w:tr w:rsidR="00280F2F" w:rsidRPr="00D50C65" w14:paraId="63C43F7D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1BC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–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806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D7B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81B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209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312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498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03D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CDF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FAA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157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2C1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188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1 425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23F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AF4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EC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2F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11 024</w:t>
            </w:r>
          </w:p>
        </w:tc>
      </w:tr>
      <w:tr w:rsidR="00280F2F" w:rsidRPr="00D50C65" w14:paraId="01DC8D21" w14:textId="77777777" w:rsidTr="00AB13B7">
        <w:trPr>
          <w:trHeight w:val="72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832F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AE0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9B2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527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0ED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709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5D0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696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734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691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3C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755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EA2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0E2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86D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6F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37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359</w:t>
            </w:r>
          </w:p>
        </w:tc>
      </w:tr>
      <w:tr w:rsidR="00280F2F" w:rsidRPr="00D50C65" w14:paraId="2E5E17CB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B83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0DA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83F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64F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25C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0DE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ED4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8EC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C41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FD8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D77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214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CFA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F7B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E9F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C6E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6C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2 489</w:t>
            </w:r>
          </w:p>
        </w:tc>
      </w:tr>
      <w:tr w:rsidR="00280F2F" w:rsidRPr="00D50C65" w14:paraId="285D2502" w14:textId="77777777" w:rsidTr="00AB13B7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15F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E66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68 663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68D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F58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BAF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8DA6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D7F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330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9FB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099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B9D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AB6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362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4 787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9A4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CE3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C21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D49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81 451</w:t>
            </w:r>
          </w:p>
        </w:tc>
      </w:tr>
      <w:tr w:rsidR="00280F2F" w:rsidRPr="00D50C65" w14:paraId="7D7121AB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F24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518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C25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576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00A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F8A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34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FDB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0F6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CBA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6D3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46A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375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1 176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B11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553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BA2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44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19 592</w:t>
            </w:r>
          </w:p>
        </w:tc>
      </w:tr>
      <w:tr w:rsidR="00280F2F" w:rsidRPr="00D50C65" w14:paraId="4935B49C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9D4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908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CD3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098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699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A99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D65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57A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299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6F7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600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DC1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09C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9E1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865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BB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09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7 160</w:t>
            </w:r>
          </w:p>
        </w:tc>
      </w:tr>
      <w:tr w:rsidR="00280F2F" w:rsidRPr="00D50C65" w14:paraId="1F33D95E" w14:textId="77777777" w:rsidTr="00AB13B7">
        <w:trPr>
          <w:trHeight w:val="48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9525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896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046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82D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438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487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EBF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750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B71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62A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E7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284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445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B73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52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CA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91F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319</w:t>
            </w:r>
          </w:p>
        </w:tc>
      </w:tr>
      <w:tr w:rsidR="00280F2F" w:rsidRPr="00D50C65" w14:paraId="0269DDB8" w14:textId="77777777" w:rsidTr="00AB13B7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A692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E41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22 788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10E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8A3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5C70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033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163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2A6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AD9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7333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151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CC1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081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43DB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F8CF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54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AF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27 071</w:t>
            </w:r>
          </w:p>
        </w:tc>
      </w:tr>
      <w:tr w:rsidR="00280F2F" w:rsidRPr="00D50C65" w14:paraId="67FE4F40" w14:textId="77777777" w:rsidTr="00AB13B7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E9D" w14:textId="77777777" w:rsidR="00280F2F" w:rsidRPr="00D50C65" w:rsidRDefault="00280F2F" w:rsidP="007D723C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0B4D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91 451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77A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2 922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B34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AFC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C21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6AF7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172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A9B4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187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37F1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E08E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96C8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6 412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3F6A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1 326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874C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485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7D9" w14:textId="77777777" w:rsidR="00280F2F" w:rsidRPr="00D50C65" w:rsidRDefault="00280F2F" w:rsidP="007D723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108 522</w:t>
            </w:r>
          </w:p>
        </w:tc>
      </w:tr>
    </w:tbl>
    <w:p w14:paraId="1F81D2D9" w14:textId="18C0C979" w:rsidR="00280F2F" w:rsidRDefault="00280F2F" w:rsidP="00AF0619">
      <w:pPr>
        <w:ind w:left="6382" w:right="4" w:firstLine="698"/>
        <w:jc w:val="center"/>
        <w:rPr>
          <w:rFonts w:asciiTheme="minorHAnsi" w:hAnsiTheme="minorHAnsi" w:cstheme="minorHAnsi"/>
        </w:rPr>
      </w:pPr>
    </w:p>
    <w:p w14:paraId="7549514C" w14:textId="77777777" w:rsidR="00280F2F" w:rsidRDefault="00280F2F" w:rsidP="00AF0619">
      <w:pPr>
        <w:ind w:left="6382" w:right="4" w:firstLine="698"/>
        <w:jc w:val="center"/>
        <w:rPr>
          <w:rFonts w:asciiTheme="minorHAnsi" w:hAnsiTheme="minorHAnsi" w:cstheme="minorHAnsi"/>
        </w:rPr>
      </w:pPr>
    </w:p>
    <w:p w14:paraId="6083D733" w14:textId="77777777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7B9385AE" w14:textId="77777777" w:rsidR="00280F2F" w:rsidRDefault="00280F2F" w:rsidP="00B4475E">
      <w:pPr>
        <w:ind w:left="21" w:right="4"/>
        <w:jc w:val="center"/>
        <w:rPr>
          <w:rFonts w:asciiTheme="minorHAnsi" w:hAnsiTheme="minorHAnsi" w:cstheme="minorHAnsi"/>
          <w:sz w:val="22"/>
        </w:rPr>
        <w:sectPr w:rsidR="00280F2F" w:rsidSect="00280F2F">
          <w:pgSz w:w="16834" w:h="11909" w:orient="landscape"/>
          <w:pgMar w:top="1418" w:right="1508" w:bottom="1412" w:left="1009" w:header="709" w:footer="714" w:gutter="0"/>
          <w:cols w:space="708"/>
        </w:sectPr>
      </w:pPr>
    </w:p>
    <w:p w14:paraId="313870BF" w14:textId="43A066C6" w:rsidR="00D50C65" w:rsidRDefault="00190BC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01BF5321" wp14:editId="1B84C2E8">
            <wp:extent cx="5676900" cy="38100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55B33C80" w:rsidR="009B1253" w:rsidRPr="00447E3F" w:rsidRDefault="00447E3F" w:rsidP="009514F1">
      <w:pPr>
        <w:ind w:left="0" w:firstLine="0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V roce 2024</w:t>
      </w:r>
      <w:r w:rsidR="009B1253" w:rsidRPr="00447E3F">
        <w:rPr>
          <w:rFonts w:asciiTheme="minorHAnsi" w:hAnsiTheme="minorHAnsi" w:cstheme="minorHAnsi"/>
        </w:rPr>
        <w:t xml:space="preserve"> </w:t>
      </w:r>
      <w:r w:rsidR="00397752" w:rsidRPr="00447E3F">
        <w:rPr>
          <w:rFonts w:asciiTheme="minorHAnsi" w:hAnsiTheme="minorHAnsi" w:cstheme="minorHAnsi"/>
        </w:rPr>
        <w:t>se zvýšil</w:t>
      </w:r>
      <w:r w:rsidR="009B1253" w:rsidRPr="00447E3F">
        <w:rPr>
          <w:rFonts w:asciiTheme="minorHAnsi" w:hAnsiTheme="minorHAnsi" w:cstheme="minorHAnsi"/>
        </w:rPr>
        <w:t xml:space="preserve"> přepočten</w:t>
      </w:r>
      <w:r w:rsidR="00397752" w:rsidRPr="00447E3F">
        <w:rPr>
          <w:rFonts w:asciiTheme="minorHAnsi" w:hAnsiTheme="minorHAnsi" w:cstheme="minorHAnsi"/>
        </w:rPr>
        <w:t>ý</w:t>
      </w:r>
      <w:r w:rsidR="009B1253" w:rsidRPr="00447E3F">
        <w:rPr>
          <w:rFonts w:asciiTheme="minorHAnsi" w:hAnsiTheme="minorHAnsi" w:cstheme="minorHAnsi"/>
        </w:rPr>
        <w:t xml:space="preserve"> poč</w:t>
      </w:r>
      <w:r w:rsidR="00397752" w:rsidRPr="00447E3F">
        <w:rPr>
          <w:rFonts w:asciiTheme="minorHAnsi" w:hAnsiTheme="minorHAnsi" w:cstheme="minorHAnsi"/>
        </w:rPr>
        <w:t>e</w:t>
      </w:r>
      <w:r w:rsidR="009B1253" w:rsidRPr="00447E3F">
        <w:rPr>
          <w:rFonts w:asciiTheme="minorHAnsi" w:hAnsiTheme="minorHAnsi" w:cstheme="minorHAnsi"/>
        </w:rPr>
        <w:t>t zaměstnanců FHS oproti předešlému roku</w:t>
      </w:r>
      <w:r w:rsidR="00397752" w:rsidRPr="00447E3F">
        <w:rPr>
          <w:rFonts w:asciiTheme="minorHAnsi" w:hAnsiTheme="minorHAnsi" w:cstheme="minorHAnsi"/>
        </w:rPr>
        <w:t xml:space="preserve"> o</w:t>
      </w:r>
      <w:r w:rsidR="00FD7F91" w:rsidRPr="00447E3F">
        <w:rPr>
          <w:rFonts w:asciiTheme="minorHAnsi" w:hAnsiTheme="minorHAnsi" w:cstheme="minorHAnsi"/>
        </w:rPr>
        <w:t xml:space="preserve"> </w:t>
      </w:r>
      <w:r w:rsidRPr="00447E3F">
        <w:rPr>
          <w:rFonts w:asciiTheme="minorHAnsi" w:hAnsiTheme="minorHAnsi" w:cstheme="minorHAnsi"/>
        </w:rPr>
        <w:t>2,53</w:t>
      </w:r>
      <w:r w:rsidR="009B1253" w:rsidRPr="00447E3F">
        <w:rPr>
          <w:rFonts w:asciiTheme="minorHAnsi" w:hAnsiTheme="minorHAnsi" w:cstheme="minorHAnsi"/>
        </w:rPr>
        <w:t xml:space="preserve"> %.</w:t>
      </w:r>
      <w:r w:rsidR="00991C4D" w:rsidRPr="00447E3F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</w:t>
      </w:r>
      <w:r w:rsidRPr="00447E3F">
        <w:rPr>
          <w:rFonts w:asciiTheme="minorHAnsi" w:hAnsiTheme="minorHAnsi" w:cstheme="minorHAnsi"/>
        </w:rPr>
        <w:t>3,259 oproti roku 2023</w:t>
      </w:r>
      <w:r w:rsidR="00991C4D" w:rsidRPr="00447E3F">
        <w:rPr>
          <w:rFonts w:asciiTheme="minorHAnsi" w:hAnsiTheme="minorHAnsi" w:cstheme="minorHAnsi"/>
        </w:rPr>
        <w:t>. U ostatních zaměstnanců došlo ke snížení průměrného přepočteného počtu p</w:t>
      </w:r>
      <w:r w:rsidRPr="00447E3F">
        <w:rPr>
          <w:rFonts w:asciiTheme="minorHAnsi" w:hAnsiTheme="minorHAnsi" w:cstheme="minorHAnsi"/>
        </w:rPr>
        <w:t>racovníků o 0,187 oproti roku 2023</w:t>
      </w:r>
      <w:r w:rsidR="00991C4D" w:rsidRPr="00447E3F">
        <w:rPr>
          <w:rFonts w:asciiTheme="minorHAnsi" w:hAnsiTheme="minorHAnsi" w:cstheme="minorHAnsi"/>
        </w:rPr>
        <w:t>.</w:t>
      </w:r>
      <w:r w:rsidR="009B1253" w:rsidRPr="00447E3F">
        <w:rPr>
          <w:rFonts w:asciiTheme="minorHAnsi" w:hAnsiTheme="minorHAnsi" w:cstheme="minorHAnsi"/>
        </w:rPr>
        <w:t xml:space="preserve"> Průměrné přepočtené počty pracovníků</w:t>
      </w:r>
      <w:r w:rsidR="007420CB" w:rsidRPr="00447E3F">
        <w:rPr>
          <w:rFonts w:asciiTheme="minorHAnsi" w:hAnsiTheme="minorHAnsi" w:cstheme="minorHAnsi"/>
        </w:rPr>
        <w:t xml:space="preserve"> </w:t>
      </w:r>
      <w:r w:rsidR="00C91736" w:rsidRPr="00447E3F">
        <w:rPr>
          <w:rFonts w:asciiTheme="minorHAnsi" w:hAnsiTheme="minorHAnsi" w:cstheme="minorHAnsi"/>
        </w:rPr>
        <w:t>dle pracovního zařazení</w:t>
      </w:r>
      <w:r w:rsidR="009B1253" w:rsidRPr="00447E3F">
        <w:rPr>
          <w:rFonts w:asciiTheme="minorHAnsi" w:hAnsiTheme="minorHAnsi" w:cstheme="minorHAnsi"/>
        </w:rPr>
        <w:t xml:space="preserve"> jsou uvedeny v</w:t>
      </w:r>
      <w:r w:rsidR="00397752" w:rsidRPr="00447E3F">
        <w:rPr>
          <w:rFonts w:asciiTheme="minorHAnsi" w:hAnsiTheme="minorHAnsi" w:cstheme="minorHAnsi"/>
        </w:rPr>
        <w:t> </w:t>
      </w:r>
      <w:r w:rsidR="009B1253" w:rsidRPr="00447E3F">
        <w:rPr>
          <w:rFonts w:asciiTheme="minorHAnsi" w:hAnsiTheme="minorHAnsi" w:cstheme="minorHAnsi"/>
        </w:rPr>
        <w:t>následující tabulce a odrážejí stav</w:t>
      </w:r>
      <w:r w:rsidR="00C91736" w:rsidRPr="00447E3F">
        <w:rPr>
          <w:rFonts w:asciiTheme="minorHAnsi" w:hAnsiTheme="minorHAnsi" w:cstheme="minorHAnsi"/>
        </w:rPr>
        <w:t xml:space="preserve"> roku</w:t>
      </w:r>
      <w:r w:rsidRPr="00447E3F">
        <w:rPr>
          <w:rFonts w:asciiTheme="minorHAnsi" w:hAnsiTheme="minorHAnsi" w:cstheme="minorHAnsi"/>
        </w:rPr>
        <w:t xml:space="preserve"> 2024</w:t>
      </w:r>
      <w:r w:rsidR="009B1253" w:rsidRPr="00447E3F">
        <w:rPr>
          <w:rFonts w:asciiTheme="minorHAnsi" w:hAnsiTheme="minorHAnsi" w:cstheme="minorHAnsi"/>
        </w:rPr>
        <w:t xml:space="preserve">. </w:t>
      </w:r>
    </w:p>
    <w:p w14:paraId="315558E9" w14:textId="77777777" w:rsidR="00AF3C95" w:rsidRPr="00447E3F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240A302" w14:textId="7C7C53E8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Profesní struktura</w:t>
      </w:r>
      <w:r w:rsidR="00D93944" w:rsidRPr="00447E3F">
        <w:rPr>
          <w:rFonts w:asciiTheme="minorHAnsi" w:hAnsiTheme="minorHAnsi" w:cstheme="minorHAnsi"/>
        </w:rPr>
        <w:t xml:space="preserve"> FHS – přepočtené počty zaměstnanců</w:t>
      </w:r>
      <w:r w:rsidR="00E172BC" w:rsidRPr="00447E3F">
        <w:rPr>
          <w:rFonts w:asciiTheme="minorHAnsi" w:hAnsiTheme="minorHAnsi" w:cstheme="minorHAnsi"/>
        </w:rPr>
        <w:t xml:space="preserve"> v roce 202</w:t>
      </w:r>
      <w:r w:rsidR="00447E3F" w:rsidRPr="00447E3F">
        <w:rPr>
          <w:rFonts w:asciiTheme="minorHAnsi" w:hAnsiTheme="minorHAnsi" w:cstheme="minorHAnsi"/>
        </w:rPr>
        <w:t>4</w:t>
      </w:r>
      <w:r w:rsidRPr="00447E3F">
        <w:rPr>
          <w:rFonts w:asciiTheme="minorHAnsi" w:hAnsiTheme="minorHAnsi" w:cstheme="minorHAnsi"/>
        </w:rPr>
        <w:t>:</w:t>
      </w:r>
      <w:r w:rsidRPr="00FE4EB8">
        <w:rPr>
          <w:rFonts w:asciiTheme="minorHAnsi" w:hAnsiTheme="minorHAnsi" w:cstheme="minorHAnsi"/>
        </w:rPr>
        <w:t xml:space="preserve">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5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8C6379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8C6379" w:rsidRPr="00720789" w:rsidRDefault="008C6379" w:rsidP="008C637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4A98299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3,693</w:t>
            </w:r>
          </w:p>
        </w:tc>
      </w:tr>
      <w:tr w:rsidR="008C6379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634157B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12,667</w:t>
            </w:r>
          </w:p>
        </w:tc>
      </w:tr>
      <w:tr w:rsidR="008C6379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6FB0AC71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58,366</w:t>
            </w:r>
          </w:p>
        </w:tc>
      </w:tr>
      <w:tr w:rsidR="008C6379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6B1219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8,305</w:t>
            </w:r>
          </w:p>
        </w:tc>
      </w:tr>
      <w:tr w:rsidR="008C6379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17EB7578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19,929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4EFD10A5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102,96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44FFE558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 w:rsidRPr="008C6379">
              <w:rPr>
                <w:rFonts w:asciiTheme="minorHAnsi" w:hAnsiTheme="minorHAnsi" w:cstheme="minorHAnsi"/>
              </w:rPr>
              <w:t>21,651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F5F85A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124,611</w:t>
            </w:r>
          </w:p>
        </w:tc>
      </w:tr>
      <w:bookmarkEnd w:id="25"/>
    </w:tbl>
    <w:p w14:paraId="4FC9B341" w14:textId="01BA6EE5" w:rsidR="00CC0281" w:rsidRDefault="00CC0281" w:rsidP="00CB14D3">
      <w:pPr>
        <w:rPr>
          <w:rFonts w:asciiTheme="minorHAnsi" w:hAnsiTheme="minorHAnsi" w:cstheme="minorHAnsi"/>
        </w:rPr>
      </w:pPr>
    </w:p>
    <w:p w14:paraId="683D0169" w14:textId="076BF829" w:rsidR="008C6379" w:rsidRDefault="008C6379" w:rsidP="00CB14D3">
      <w:pPr>
        <w:rPr>
          <w:rFonts w:asciiTheme="minorHAnsi" w:hAnsiTheme="minorHAnsi" w:cstheme="minorHAnsi"/>
        </w:rPr>
      </w:pPr>
    </w:p>
    <w:p w14:paraId="541BED4C" w14:textId="7A167506" w:rsidR="008C6379" w:rsidRDefault="008C6379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A947039" wp14:editId="4F221C67">
            <wp:extent cx="5763260" cy="3824605"/>
            <wp:effectExtent l="0" t="0" r="8890" b="44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C000113" w14:textId="018930BA" w:rsidR="00163664" w:rsidRPr="00FE4EB8" w:rsidRDefault="00163664" w:rsidP="00F0490C">
      <w:pPr>
        <w:ind w:left="0" w:firstLine="0"/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6" w:name="_Toc198151798"/>
      <w:r w:rsidRPr="002527C9">
        <w:rPr>
          <w:rFonts w:asciiTheme="minorHAnsi" w:hAnsiTheme="minorHAnsi" w:cstheme="minorHAnsi"/>
        </w:rPr>
        <w:t>Majetkové účty FHS</w:t>
      </w:r>
      <w:bookmarkEnd w:id="26"/>
      <w:r w:rsidRPr="002527C9">
        <w:rPr>
          <w:rFonts w:asciiTheme="minorHAnsi" w:hAnsiTheme="minorHAnsi" w:cstheme="minorHAnsi"/>
        </w:rPr>
        <w:t xml:space="preserve"> </w:t>
      </w:r>
    </w:p>
    <w:p w14:paraId="010557DA" w14:textId="4EE3B4E8" w:rsidR="00363D70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7266D3">
        <w:rPr>
          <w:rFonts w:asciiTheme="minorHAnsi" w:hAnsiTheme="minorHAnsi" w:cstheme="minorHAnsi"/>
        </w:rPr>
        <w:t xml:space="preserve"> v průběhu roku 2024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13596DE6" w:rsidR="00363D70" w:rsidRPr="002527C9" w:rsidRDefault="00363D70" w:rsidP="007266D3">
      <w:pPr>
        <w:spacing w:after="3" w:line="264" w:lineRule="auto"/>
        <w:ind w:left="7101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64CD6A31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7266D3">
              <w:rPr>
                <w:rFonts w:asciiTheme="minorHAnsi" w:hAnsiTheme="minorHAnsi" w:cstheme="minorHAnsi"/>
                <w:color w:val="FFFFFF" w:themeColor="background1"/>
              </w:rPr>
              <w:t>2024</w:t>
            </w:r>
          </w:p>
        </w:tc>
      </w:tr>
      <w:tr w:rsidR="007266D3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6A2A52B5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7266D3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3109FCE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499BBB3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AC0642D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7266D3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6C776F37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11 580</w:t>
            </w:r>
          </w:p>
        </w:tc>
      </w:tr>
      <w:tr w:rsidR="007266D3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406DCD2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8 263</w:t>
            </w:r>
          </w:p>
        </w:tc>
      </w:tr>
      <w:tr w:rsidR="007266D3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E9A0E2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35BAED78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35 247</w:t>
            </w:r>
          </w:p>
        </w:tc>
      </w:tr>
      <w:tr w:rsidR="007266D3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0B307B1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4 696</w:t>
            </w:r>
          </w:p>
        </w:tc>
      </w:tr>
      <w:tr w:rsidR="007266D3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2A04102" w:rsidR="007266D3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7266D3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4A2DB61E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4946D3A9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7266D3" w:rsidRPr="00196BB5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lastRenderedPageBreak/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64383A1E" w:rsidR="007266D3" w:rsidRPr="00196BB5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61 044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4459BA37" w14:textId="14A818A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Fakulta zvýšila úroveň materiálního vybavení svých pracovišť v oblasti drobného dlouhodob</w:t>
      </w:r>
      <w:r>
        <w:rPr>
          <w:rFonts w:asciiTheme="minorHAnsi" w:hAnsiTheme="minorHAnsi" w:cstheme="minorHAnsi"/>
        </w:rPr>
        <w:t xml:space="preserve">ého majetku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tis. Kč), souhrnně bez rozlišení zdroje financování, ve výši </w:t>
      </w:r>
      <w:r>
        <w:rPr>
          <w:rFonts w:asciiTheme="minorHAnsi" w:hAnsiTheme="minorHAnsi" w:cstheme="minorHAnsi"/>
          <w:b/>
        </w:rPr>
        <w:t>864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4149B762" w14:textId="7777777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</w:p>
    <w:p w14:paraId="440CF78E" w14:textId="7975BF2B" w:rsidR="007266D3" w:rsidRPr="002527C9" w:rsidRDefault="007266D3" w:rsidP="007266D3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Drobný dlouhod</w:t>
      </w:r>
      <w:r>
        <w:rPr>
          <w:rFonts w:asciiTheme="minorHAnsi" w:hAnsiTheme="minorHAnsi" w:cstheme="minorHAnsi"/>
        </w:rPr>
        <w:t xml:space="preserve">obý majetek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tis. Kč) – přírůstek v roce 2024</w:t>
      </w:r>
      <w:r w:rsidR="009E0E6B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bez rozlišení zdroje financování: </w:t>
      </w:r>
    </w:p>
    <w:p w14:paraId="585358A3" w14:textId="4E19191D" w:rsidR="0038634B" w:rsidRPr="002527C9" w:rsidRDefault="009E4DB3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8634B"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7266D3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33F77FA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</w:tr>
      <w:tr w:rsidR="007266D3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1AF8BF23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7266D3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20BF9F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7266D3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1BD6A99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</w:tr>
      <w:tr w:rsidR="007266D3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F69D149" w:rsidR="007266D3" w:rsidRPr="00053683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864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7" w:name="_Toc198151799"/>
      <w:r w:rsidRPr="002527C9">
        <w:rPr>
          <w:rFonts w:asciiTheme="minorHAnsi" w:hAnsiTheme="minorHAnsi" w:cstheme="minorHAnsi"/>
        </w:rPr>
        <w:t>Vývoj stavu majetku a výsledky inventarizace</w:t>
      </w:r>
      <w:bookmarkEnd w:id="27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9E5C6FB" w14:textId="77777777" w:rsidR="007266D3" w:rsidRPr="003A25C5" w:rsidRDefault="007266D3" w:rsidP="007266D3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AA2974">
        <w:rPr>
          <w:rFonts w:asciiTheme="minorHAnsi" w:hAnsiTheme="minorHAnsi" w:cstheme="minorHAnsi"/>
          <w:b/>
        </w:rPr>
        <w:t>19 936</w:t>
      </w:r>
      <w:r>
        <w:rPr>
          <w:rFonts w:asciiTheme="minorHAnsi" w:hAnsiTheme="minorHAnsi" w:cstheme="minorHAnsi"/>
          <w:b/>
        </w:rPr>
        <w:t>,46</w:t>
      </w:r>
      <w:r w:rsidRPr="00AA2974">
        <w:rPr>
          <w:rFonts w:asciiTheme="minorHAnsi" w:hAnsiTheme="minorHAnsi" w:cstheme="minorHAnsi"/>
          <w:b/>
          <w:color w:val="auto"/>
        </w:rPr>
        <w:t xml:space="preserve"> </w:t>
      </w:r>
      <w:r w:rsidRPr="003A25C5">
        <w:rPr>
          <w:rFonts w:asciiTheme="minorHAnsi" w:hAnsiTheme="minorHAnsi" w:cstheme="minorHAnsi"/>
          <w:b/>
        </w:rPr>
        <w:t>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3F0F627A" w14:textId="77777777" w:rsidR="007266D3" w:rsidRPr="00A51F69" w:rsidRDefault="007266D3" w:rsidP="007266D3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61 044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42 428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8" w:name="_Toc198151800"/>
      <w:r w:rsidRPr="002527C9">
        <w:rPr>
          <w:rFonts w:asciiTheme="minorHAnsi" w:hAnsiTheme="minorHAnsi" w:cstheme="minorHAnsi"/>
        </w:rPr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8"/>
      <w:r w:rsidRPr="002527C9">
        <w:rPr>
          <w:rFonts w:asciiTheme="minorHAnsi" w:hAnsiTheme="minorHAnsi" w:cstheme="minorHAnsi"/>
        </w:rPr>
        <w:t xml:space="preserve"> </w:t>
      </w:r>
    </w:p>
    <w:p w14:paraId="0EA03C4E" w14:textId="77777777" w:rsidR="007266D3" w:rsidRPr="002527C9" w:rsidRDefault="007266D3" w:rsidP="007266D3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2024</w:t>
      </w:r>
      <w:r w:rsidRPr="002527C9">
        <w:rPr>
          <w:rFonts w:asciiTheme="minorHAnsi" w:hAnsiTheme="minorHAnsi" w:cstheme="minorHAnsi"/>
        </w:rPr>
        <w:t xml:space="preserve"> bylo v MPV dosaženo kladného hospodářského výsledku ve výši </w:t>
      </w:r>
      <w:r>
        <w:rPr>
          <w:rFonts w:asciiTheme="minorHAnsi" w:hAnsiTheme="minorHAnsi" w:cstheme="minorHAnsi"/>
          <w:b/>
        </w:rPr>
        <w:t>6 258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Náklady a výnosy v rámci MPV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085BD431" w14:textId="77777777" w:rsidR="00811808" w:rsidRDefault="00811808">
      <w:pPr>
        <w:ind w:left="21"/>
        <w:rPr>
          <w:rFonts w:asciiTheme="minorHAnsi" w:hAnsiTheme="minorHAnsi" w:cstheme="minorHAnsi"/>
        </w:rPr>
      </w:pPr>
    </w:p>
    <w:p w14:paraId="2DC98E37" w14:textId="67998A4F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lastRenderedPageBreak/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218E52AB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599428AF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53C285C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598FD09D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0ED1740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34DBE062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BF0CE5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501</w:t>
            </w:r>
          </w:p>
        </w:tc>
      </w:tr>
      <w:tr w:rsidR="007266D3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0841B338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1AE867E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CCAF030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4D115BE0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1 922</w:t>
            </w:r>
          </w:p>
        </w:tc>
      </w:tr>
      <w:tr w:rsidR="007266D3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19975FA4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3E5BFC01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</w:t>
            </w:r>
          </w:p>
        </w:tc>
      </w:tr>
      <w:tr w:rsidR="007266D3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3D243A5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2F21D3B2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3B5CBA9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 xml:space="preserve">2 </w:t>
            </w:r>
            <w:r>
              <w:rPr>
                <w:rFonts w:asciiTheme="minorHAnsi" w:hAnsiTheme="minorHAnsi" w:cstheme="minorHAnsi"/>
                <w:b/>
              </w:rPr>
              <w:t>334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6C8F6CBD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2 750</w:t>
            </w:r>
          </w:p>
        </w:tc>
      </w:tr>
    </w:tbl>
    <w:p w14:paraId="2F983411" w14:textId="77777777" w:rsidR="00F0490C" w:rsidRDefault="00F0490C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644E6C28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6C063B7E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A3CA48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669435F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1 585</w:t>
            </w:r>
          </w:p>
        </w:tc>
      </w:tr>
      <w:tr w:rsidR="007266D3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39DFFA5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3A7D369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00A2794A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1 277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34F73A37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1 383</w:t>
            </w:r>
          </w:p>
        </w:tc>
      </w:tr>
      <w:tr w:rsidR="007266D3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58FEA90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1 650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3897C3A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1 879</w:t>
            </w:r>
          </w:p>
        </w:tc>
      </w:tr>
      <w:tr w:rsidR="007266D3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293D312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3126386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3 922</w:t>
            </w:r>
          </w:p>
        </w:tc>
      </w:tr>
      <w:tr w:rsidR="007266D3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26D05889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5A71874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</w:t>
            </w:r>
          </w:p>
        </w:tc>
      </w:tr>
      <w:tr w:rsidR="007266D3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0A88799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6227EC8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09F3D33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8 065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37FD6C6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9 008</w:t>
            </w:r>
          </w:p>
        </w:tc>
      </w:tr>
    </w:tbl>
    <w:p w14:paraId="585041B5" w14:textId="45E806F6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15FD6D1" w14:textId="04C10CC3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D1339A0" w14:textId="3868452F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332DF4A" w14:textId="4A223BEF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E622774" w14:textId="101C313C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4997462" w14:textId="202C0834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4438323" w14:textId="5D69F94C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58DC122" w14:textId="6491F796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ED427E8" w14:textId="6521B2C4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D3F71F" w14:textId="35A63928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4EB8E92" w14:textId="634B39B3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7F16829" w14:textId="495DE5F8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24C31F0" w14:textId="2C157429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E16080F" w14:textId="77777777" w:rsidR="00811808" w:rsidRDefault="00811808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C0059B4" w14:textId="3A7EBED3" w:rsidR="00A52713" w:rsidRPr="00FC2996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9" w:name="_Toc198151801"/>
      <w:r w:rsidRPr="00FC2996">
        <w:rPr>
          <w:rFonts w:asciiTheme="minorHAnsi" w:hAnsiTheme="minorHAnsi" w:cstheme="minorHAnsi"/>
        </w:rPr>
        <w:lastRenderedPageBreak/>
        <w:t>Investiční prostředky FHS</w:t>
      </w:r>
      <w:bookmarkEnd w:id="29"/>
    </w:p>
    <w:p w14:paraId="647E479F" w14:textId="77777777" w:rsidR="00A52713" w:rsidRDefault="00A52713" w:rsidP="00BB6D13"/>
    <w:p w14:paraId="5B8E9B11" w14:textId="30F928F7" w:rsidR="00A52713" w:rsidRPr="00432480" w:rsidRDefault="00A52713" w:rsidP="00A52713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 w:rsidRPr="00432480">
        <w:rPr>
          <w:rFonts w:asciiTheme="minorHAnsi" w:hAnsiTheme="minorHAnsi" w:cstheme="minorHAnsi"/>
        </w:rPr>
        <w:t>u rozvoje investičního majetku v období mezi</w:t>
      </w:r>
      <w:r w:rsidR="00432480" w:rsidRPr="00432480">
        <w:rPr>
          <w:rFonts w:asciiTheme="minorHAnsi" w:hAnsiTheme="minorHAnsi" w:cstheme="minorHAnsi"/>
        </w:rPr>
        <w:t> 1. 1. 2024</w:t>
      </w:r>
      <w:r w:rsidR="00A7111D" w:rsidRPr="00432480">
        <w:rPr>
          <w:rFonts w:asciiTheme="minorHAnsi" w:hAnsiTheme="minorHAnsi" w:cstheme="minorHAnsi"/>
        </w:rPr>
        <w:t xml:space="preserve"> a </w:t>
      </w:r>
      <w:r w:rsidRPr="00432480">
        <w:rPr>
          <w:rFonts w:asciiTheme="minorHAnsi" w:hAnsiTheme="minorHAnsi" w:cstheme="minorHAnsi"/>
        </w:rPr>
        <w:t>31. 12</w:t>
      </w:r>
      <w:r w:rsidR="00432480" w:rsidRPr="00432480">
        <w:rPr>
          <w:rFonts w:asciiTheme="minorHAnsi" w:hAnsiTheme="minorHAnsi" w:cstheme="minorHAnsi"/>
        </w:rPr>
        <w:t>. 2024</w:t>
      </w:r>
      <w:r w:rsidRPr="00432480">
        <w:rPr>
          <w:rFonts w:asciiTheme="minorHAnsi" w:hAnsiTheme="minorHAnsi" w:cstheme="minorHAnsi"/>
        </w:rPr>
        <w:t>.</w:t>
      </w:r>
    </w:p>
    <w:p w14:paraId="08DFC222" w14:textId="61D11DBA" w:rsidR="00A52713" w:rsidRPr="00432480" w:rsidRDefault="00667315" w:rsidP="00745E8A">
      <w:pPr>
        <w:ind w:left="4966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432480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432480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133002B7" w:rsidR="00A52713" w:rsidRPr="00432480" w:rsidRDefault="00432480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27A0F36" w:rsidR="00A52713" w:rsidRPr="00432480" w:rsidRDefault="00432480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2024</w:t>
            </w:r>
            <w:r w:rsidR="00A52713"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7266D3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432480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32480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416B0EF0" w:rsidR="00A52713" w:rsidRPr="00432480" w:rsidRDefault="00432480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2052B8F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07CD131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15873B32" w:rsidR="00A52713" w:rsidRPr="00432480" w:rsidRDefault="00187C3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13 289</w:t>
            </w:r>
          </w:p>
        </w:tc>
      </w:tr>
    </w:tbl>
    <w:p w14:paraId="48829C03" w14:textId="77777777" w:rsidR="00A52713" w:rsidRPr="007266D3" w:rsidRDefault="00A52713" w:rsidP="00A52713">
      <w:pPr>
        <w:rPr>
          <w:rFonts w:asciiTheme="minorHAnsi" w:hAnsiTheme="minorHAnsi" w:cstheme="minorHAnsi"/>
          <w:highlight w:val="yellow"/>
        </w:rPr>
      </w:pPr>
    </w:p>
    <w:p w14:paraId="55A80A03" w14:textId="05419631" w:rsidR="00A52713" w:rsidRDefault="00F24A58" w:rsidP="00A52713">
      <w:pPr>
        <w:rPr>
          <w:sz w:val="22"/>
        </w:rPr>
      </w:pPr>
      <w:r w:rsidRPr="00FC2996">
        <w:rPr>
          <w:rFonts w:asciiTheme="minorHAnsi" w:hAnsiTheme="minorHAnsi" w:cstheme="minorHAnsi"/>
        </w:rPr>
        <w:t>V roce</w:t>
      </w:r>
      <w:r w:rsidR="00432480" w:rsidRPr="00FC2996">
        <w:rPr>
          <w:rFonts w:asciiTheme="minorHAnsi" w:hAnsiTheme="minorHAnsi" w:cstheme="minorHAnsi"/>
        </w:rPr>
        <w:t xml:space="preserve"> 2024</w:t>
      </w:r>
      <w:r w:rsidR="00A52713" w:rsidRPr="00FC2996">
        <w:rPr>
          <w:rFonts w:asciiTheme="minorHAnsi" w:hAnsiTheme="minorHAnsi" w:cstheme="minorHAnsi"/>
        </w:rPr>
        <w:t xml:space="preserve"> došlo </w:t>
      </w:r>
      <w:r w:rsidR="00866513" w:rsidRPr="00FC2996">
        <w:rPr>
          <w:rFonts w:asciiTheme="minorHAnsi" w:hAnsiTheme="minorHAnsi" w:cstheme="minorHAnsi"/>
        </w:rPr>
        <w:t xml:space="preserve">v rámci investičních nákladů </w:t>
      </w:r>
      <w:r w:rsidR="00274D08" w:rsidRPr="00FC2996">
        <w:rPr>
          <w:rFonts w:asciiTheme="minorHAnsi" w:hAnsiTheme="minorHAnsi" w:cstheme="minorHAnsi"/>
        </w:rPr>
        <w:t>k</w:t>
      </w:r>
      <w:r w:rsidR="00FC2996" w:rsidRPr="00FC2996">
        <w:rPr>
          <w:rFonts w:asciiTheme="minorHAnsi" w:hAnsiTheme="minorHAnsi" w:cstheme="minorHAnsi"/>
        </w:rPr>
        <w:t> rekonstrukci výukových prostor</w:t>
      </w:r>
      <w:r w:rsidR="00FC2996">
        <w:rPr>
          <w:rFonts w:asciiTheme="minorHAnsi" w:hAnsiTheme="minorHAnsi" w:cstheme="minorHAnsi"/>
        </w:rPr>
        <w:t xml:space="preserve"> v objektu U14</w:t>
      </w:r>
      <w:r w:rsidR="00FC2996" w:rsidRPr="00FC2996">
        <w:rPr>
          <w:rFonts w:asciiTheme="minorHAnsi" w:hAnsiTheme="minorHAnsi" w:cstheme="minorHAnsi"/>
        </w:rPr>
        <w:t xml:space="preserve"> pro Ústav zdravotnických věd ve výši 861 tis. Kč. Další investiční náklady byly spojené s opravou sprch a šaten</w:t>
      </w:r>
      <w:r w:rsidR="00FC2996">
        <w:rPr>
          <w:rFonts w:asciiTheme="minorHAnsi" w:hAnsiTheme="minorHAnsi" w:cstheme="minorHAnsi"/>
        </w:rPr>
        <w:t xml:space="preserve"> ve výši 147 tis. Kč</w:t>
      </w:r>
      <w:r w:rsidR="00FC2996" w:rsidRPr="00FC2996">
        <w:rPr>
          <w:rFonts w:asciiTheme="minorHAnsi" w:hAnsiTheme="minorHAnsi" w:cstheme="minorHAnsi"/>
        </w:rPr>
        <w:t xml:space="preserve"> pro Ústav tělesné výchovy</w:t>
      </w:r>
      <w:r w:rsidR="00FC2996">
        <w:rPr>
          <w:rFonts w:asciiTheme="minorHAnsi" w:hAnsiTheme="minorHAnsi" w:cstheme="minorHAnsi"/>
        </w:rPr>
        <w:t xml:space="preserve"> Fakulty managementu a ekonomiky, který zajišťuje výuku sportovních aktivit pro celou univerzitu včetně Fakulty humanitních studií.</w:t>
      </w:r>
      <w:r w:rsidR="009F4AA6">
        <w:rPr>
          <w:rFonts w:asciiTheme="minorHAnsi" w:hAnsiTheme="minorHAnsi" w:cstheme="minorHAnsi"/>
        </w:rPr>
        <w:t xml:space="preserve"> Fakulta humanitních studií se podílela na nákladech ve stejné výši jako ostatní fakulty.</w:t>
      </w:r>
      <w:r w:rsidR="00FC2996">
        <w:rPr>
          <w:rFonts w:asciiTheme="minorHAnsi" w:hAnsiTheme="minorHAnsi" w:cstheme="minorHAnsi"/>
        </w:rPr>
        <w:t xml:space="preserve"> Poslední část investičních nákladů ve výši 41 tis. Kč byla využita jako spoluúčast projektu </w:t>
      </w:r>
      <w:r w:rsidR="00FC2996" w:rsidRPr="00FC2996">
        <w:rPr>
          <w:rFonts w:asciiTheme="minorHAnsi" w:hAnsiTheme="minorHAnsi" w:cstheme="minorHAnsi"/>
        </w:rPr>
        <w:t>Rozvoj adekvátní infrastruktury doktorských studijních programů na UTB ve Zlíně (RADOST) s registračním číslem CZ.02.01.01/00/22_012/0006919</w:t>
      </w:r>
      <w:r w:rsidR="00FC2996">
        <w:rPr>
          <w:sz w:val="22"/>
        </w:rPr>
        <w:t>.</w:t>
      </w:r>
    </w:p>
    <w:p w14:paraId="2A94F6A6" w14:textId="65E24EEF" w:rsidR="00465FEB" w:rsidRPr="005C1644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30" w:name="_Toc198151802"/>
      <w:r w:rsidRPr="005C1644">
        <w:rPr>
          <w:rFonts w:asciiTheme="minorHAnsi" w:hAnsiTheme="minorHAnsi" w:cstheme="minorHAnsi"/>
        </w:rPr>
        <w:t>Závěr</w:t>
      </w:r>
      <w:r w:rsidR="00D7640A" w:rsidRPr="005C1644">
        <w:rPr>
          <w:rFonts w:asciiTheme="minorHAnsi" w:hAnsiTheme="minorHAnsi" w:cstheme="minorHAnsi"/>
        </w:rPr>
        <w:t>ečná doporučení</w:t>
      </w:r>
      <w:bookmarkEnd w:id="30"/>
    </w:p>
    <w:p w14:paraId="6F9E1B22" w14:textId="3C52702B" w:rsidR="006862C3" w:rsidRPr="005C1644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1FD77BA5" w:rsidR="00A52713" w:rsidRPr="005C1644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E</w:t>
      </w:r>
      <w:r w:rsidR="00661438" w:rsidRPr="005C1644">
        <w:rPr>
          <w:rFonts w:asciiTheme="minorHAnsi" w:hAnsiTheme="minorHAnsi" w:cstheme="minorHAnsi"/>
        </w:rPr>
        <w:t>fektivně využívat vícezdrojové financování</w:t>
      </w:r>
      <w:r w:rsidR="006862C3" w:rsidRPr="005C1644">
        <w:rPr>
          <w:rFonts w:asciiTheme="minorHAnsi" w:hAnsiTheme="minorHAnsi" w:cstheme="minorHAnsi"/>
        </w:rPr>
        <w:t xml:space="preserve"> v rámci provozních i</w:t>
      </w:r>
      <w:r w:rsidR="00062AAC" w:rsidRPr="005C1644">
        <w:rPr>
          <w:rFonts w:asciiTheme="minorHAnsi" w:hAnsiTheme="minorHAnsi" w:cstheme="minorHAnsi"/>
        </w:rPr>
        <w:t xml:space="preserve"> osobních nákladů, ved</w:t>
      </w:r>
      <w:r w:rsidR="00C66F4C">
        <w:rPr>
          <w:rFonts w:asciiTheme="minorHAnsi" w:hAnsiTheme="minorHAnsi" w:cstheme="minorHAnsi"/>
        </w:rPr>
        <w:t>oucí</w:t>
      </w:r>
      <w:r w:rsidR="00661438" w:rsidRPr="005C1644">
        <w:rPr>
          <w:rFonts w:asciiTheme="minorHAnsi" w:hAnsiTheme="minorHAnsi" w:cstheme="minorHAnsi"/>
        </w:rPr>
        <w:t xml:space="preserve"> k rozvoji fakulty</w:t>
      </w:r>
      <w:r w:rsidR="006862C3" w:rsidRPr="005C1644">
        <w:rPr>
          <w:rFonts w:asciiTheme="minorHAnsi" w:hAnsiTheme="minorHAnsi" w:cstheme="minorHAnsi"/>
        </w:rPr>
        <w:t>.</w:t>
      </w:r>
      <w:r w:rsidR="009F4AA6" w:rsidRPr="005C1644">
        <w:rPr>
          <w:rFonts w:asciiTheme="minorHAnsi" w:hAnsiTheme="minorHAnsi" w:cstheme="minorHAnsi"/>
        </w:rPr>
        <w:t xml:space="preserve"> V posledních letech dochází k rozšíření zdrojů financování, které slouží k financování činností a aktivit fakulty.</w:t>
      </w:r>
      <w:r w:rsidR="006862C3" w:rsidRPr="005C1644">
        <w:rPr>
          <w:rFonts w:asciiTheme="minorHAnsi" w:hAnsiTheme="minorHAnsi" w:cstheme="minorHAnsi"/>
        </w:rPr>
        <w:t xml:space="preserve"> Jednotlivé zdroje financování je nutné využívat</w:t>
      </w:r>
      <w:r w:rsidR="00661438" w:rsidRPr="005C1644">
        <w:rPr>
          <w:rFonts w:asciiTheme="minorHAnsi" w:hAnsiTheme="minorHAnsi" w:cstheme="minorHAnsi"/>
        </w:rPr>
        <w:t xml:space="preserve"> v souladu se zákonnými předpisy a vnitřními předpisy UTB.</w:t>
      </w:r>
      <w:r w:rsidRPr="005C1644">
        <w:rPr>
          <w:rFonts w:asciiTheme="minorHAnsi" w:hAnsiTheme="minorHAnsi" w:cstheme="minorHAnsi"/>
        </w:rPr>
        <w:t xml:space="preserve"> </w:t>
      </w:r>
    </w:p>
    <w:p w14:paraId="335C0E24" w14:textId="77777777" w:rsidR="005C1644" w:rsidRPr="005C1644" w:rsidRDefault="005C1644" w:rsidP="005C1644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194E33FA" w14:textId="28AF2389" w:rsidR="005C1644" w:rsidRPr="005C1644" w:rsidRDefault="005C1644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Financování fakulty a její rozvoj j</w:t>
      </w:r>
      <w:r w:rsidR="00C66F4C">
        <w:rPr>
          <w:rFonts w:asciiTheme="minorHAnsi" w:hAnsiTheme="minorHAnsi" w:cstheme="minorHAnsi"/>
        </w:rPr>
        <w:t>sou</w:t>
      </w:r>
      <w:r w:rsidRPr="005C1644">
        <w:rPr>
          <w:rFonts w:asciiTheme="minorHAnsi" w:hAnsiTheme="minorHAnsi" w:cstheme="minorHAnsi"/>
        </w:rPr>
        <w:t xml:space="preserve"> v dlouhodobém horizontu závislé na vícezdrojovém financování.</w:t>
      </w:r>
    </w:p>
    <w:p w14:paraId="44A2D221" w14:textId="77777777" w:rsidR="00835EFB" w:rsidRPr="005C1644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226289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 w:rsidRPr="005C1644">
        <w:rPr>
          <w:rFonts w:asciiTheme="minorHAnsi" w:hAnsiTheme="minorHAnsi" w:cstheme="minorHAnsi"/>
        </w:rPr>
        <w:t>v účetním období 1 – 6/2024</w:t>
      </w:r>
      <w:r w:rsidRPr="005C1644">
        <w:rPr>
          <w:rFonts w:asciiTheme="minorHAnsi" w:hAnsiTheme="minorHAnsi" w:cstheme="minorHAnsi"/>
        </w:rPr>
        <w:t xml:space="preserve"> ve výši 45 % objemu pro účetní období 20</w:t>
      </w:r>
      <w:r w:rsidR="009F4AA6" w:rsidRPr="005C1644">
        <w:rPr>
          <w:rFonts w:asciiTheme="minorHAnsi" w:hAnsiTheme="minorHAnsi" w:cstheme="minorHAnsi"/>
        </w:rPr>
        <w:t>24</w:t>
      </w:r>
      <w:r w:rsidRPr="005C1644">
        <w:rPr>
          <w:rFonts w:asciiTheme="minorHAnsi" w:hAnsiTheme="minorHAnsi" w:cstheme="minorHAnsi"/>
        </w:rPr>
        <w:t>. Při čerpání finanční</w:t>
      </w:r>
      <w:r w:rsidR="000D403F" w:rsidRPr="005C1644">
        <w:rPr>
          <w:rFonts w:asciiTheme="minorHAnsi" w:hAnsiTheme="minorHAnsi" w:cstheme="minorHAnsi"/>
        </w:rPr>
        <w:t>ch</w:t>
      </w:r>
      <w:r w:rsidR="005E56F4" w:rsidRPr="005C1644">
        <w:rPr>
          <w:rFonts w:asciiTheme="minorHAnsi" w:hAnsiTheme="minorHAnsi" w:cstheme="minorHAnsi"/>
        </w:rPr>
        <w:t xml:space="preserve"> prostředků zacho</w:t>
      </w:r>
      <w:r w:rsidR="00361EBE" w:rsidRPr="005C1644">
        <w:rPr>
          <w:rFonts w:asciiTheme="minorHAnsi" w:hAnsiTheme="minorHAnsi" w:cstheme="minorHAnsi"/>
        </w:rPr>
        <w:t>vá</w:t>
      </w:r>
      <w:r w:rsidR="005E56F4" w:rsidRPr="005C1644">
        <w:rPr>
          <w:rFonts w:asciiTheme="minorHAnsi" w:hAnsiTheme="minorHAnsi" w:cstheme="minorHAnsi"/>
        </w:rPr>
        <w:t>v</w:t>
      </w:r>
      <w:r w:rsidRPr="005C1644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5C1644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5C1644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 optimalizaci a restrukturalizaci</w:t>
      </w:r>
      <w:r w:rsidR="00661438" w:rsidRPr="005C1644">
        <w:rPr>
          <w:rFonts w:asciiTheme="minorHAnsi" w:hAnsiTheme="minorHAnsi" w:cstheme="minorHAnsi"/>
        </w:rPr>
        <w:t xml:space="preserve"> osobní</w:t>
      </w:r>
      <w:r w:rsidRPr="005C1644">
        <w:rPr>
          <w:rFonts w:asciiTheme="minorHAnsi" w:hAnsiTheme="minorHAnsi" w:cstheme="minorHAnsi"/>
        </w:rPr>
        <w:t>ch nákladů</w:t>
      </w:r>
      <w:r w:rsidR="00661438" w:rsidRPr="005C1644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5C1644">
        <w:rPr>
          <w:rFonts w:asciiTheme="minorHAnsi" w:hAnsiTheme="minorHAnsi" w:cstheme="minorHAnsi"/>
        </w:rPr>
        <w:t>.</w:t>
      </w:r>
    </w:p>
    <w:p w14:paraId="459F22AE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5C1644">
        <w:rPr>
          <w:rFonts w:asciiTheme="minorHAnsi" w:hAnsiTheme="minorHAnsi" w:cstheme="minorHAnsi"/>
        </w:rPr>
        <w:t>Při</w:t>
      </w:r>
      <w:r w:rsidRPr="005C1644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5C1644">
        <w:rPr>
          <w:rFonts w:asciiTheme="minorHAnsi" w:hAnsiTheme="minorHAnsi" w:cstheme="minorHAnsi"/>
        </w:rPr>
        <w:t> </w:t>
      </w:r>
      <w:r w:rsidRPr="005C1644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Pr="005C1644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52467A12" w14:textId="5B771D09" w:rsidR="002C3C6D" w:rsidRDefault="005C1644" w:rsidP="0016366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V posledním roce se podařilo získat velké množství projektových, dotačních či jiných finančních zdrojů. Dopad těchto finančních zdrojů se promítne do financování fakulty až v průběhu dalších let. Je zde potřeba počítat s časovým rozlišením těchto finančních zdrojů. </w:t>
      </w:r>
    </w:p>
    <w:p w14:paraId="55D0E3C3" w14:textId="77777777" w:rsidR="00BF07F9" w:rsidRPr="00BF07F9" w:rsidRDefault="00BF07F9" w:rsidP="00BF07F9">
      <w:pPr>
        <w:pStyle w:val="Odstavecseseznamem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31" w:name="_Toc198151803"/>
      <w:bookmarkStart w:id="32" w:name="_GoBack"/>
      <w:bookmarkEnd w:id="32"/>
      <w:r w:rsidRPr="00BB6D13">
        <w:rPr>
          <w:rFonts w:asciiTheme="minorHAnsi" w:hAnsiTheme="minorHAnsi" w:cstheme="minorHAnsi"/>
        </w:rPr>
        <w:t>Seznam použitých zkratek</w:t>
      </w:r>
      <w:bookmarkEnd w:id="31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60CA5ECD" w:rsidR="0069675C" w:rsidRDefault="005C1644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69675C">
        <w:rPr>
          <w:rFonts w:asciiTheme="minorHAnsi" w:hAnsiTheme="minorHAnsi" w:cstheme="minorHAnsi"/>
        </w:rPr>
        <w:t>A ČR</w:t>
      </w:r>
      <w:r w:rsidR="0069675C"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Grantová</w:t>
      </w:r>
      <w:r w:rsidR="0069675C">
        <w:rPr>
          <w:rFonts w:asciiTheme="minorHAnsi" w:hAnsiTheme="minorHAnsi" w:cstheme="minorHAnsi"/>
        </w:rPr>
        <w:t xml:space="preserve">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19F1C36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Pravidla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5C1644">
        <w:rPr>
          <w:rFonts w:asciiTheme="minorHAnsi" w:hAnsiTheme="minorHAnsi" w:cstheme="minorHAnsi"/>
        </w:rPr>
        <w:t>ro rok 2024</w:t>
      </w:r>
    </w:p>
    <w:p w14:paraId="6C69A91A" w14:textId="4514AFDC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Rozpis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 w:rsidR="005C1644">
        <w:rPr>
          <w:rFonts w:asciiTheme="minorHAnsi" w:hAnsiTheme="minorHAnsi" w:cstheme="minorHAnsi"/>
        </w:rPr>
        <w:t xml:space="preserve"> na rok 2024</w:t>
      </w:r>
      <w:r w:rsidR="002B3236">
        <w:rPr>
          <w:rFonts w:asciiTheme="minorHAnsi" w:hAnsiTheme="minorHAnsi" w:cstheme="minorHAnsi"/>
        </w:rPr>
        <w:t xml:space="preserve"> vč. </w:t>
      </w:r>
      <w:r w:rsidR="005C1644">
        <w:rPr>
          <w:rFonts w:asciiTheme="minorHAnsi" w:hAnsiTheme="minorHAnsi" w:cstheme="minorHAnsi"/>
        </w:rPr>
        <w:t>dodatků</w:t>
      </w:r>
    </w:p>
    <w:p w14:paraId="19F40E88" w14:textId="194F24F5" w:rsidR="00465FEB" w:rsidRPr="00FE4EB8" w:rsidRDefault="00C53B50" w:rsidP="00745E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</w:t>
      </w:r>
      <w:r w:rsidR="005C1644">
        <w:rPr>
          <w:rFonts w:asciiTheme="minorHAnsi" w:hAnsiTheme="minorHAnsi" w:cstheme="minorHAnsi"/>
        </w:rPr>
        <w:t>4 včetně dodatku</w:t>
      </w:r>
    </w:p>
    <w:sectPr w:rsidR="00465FEB" w:rsidRPr="00FE4EB8" w:rsidSect="00AB13B7">
      <w:pgSz w:w="11909" w:h="16834"/>
      <w:pgMar w:top="1508" w:right="1412" w:bottom="1009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4AEC0" w14:textId="77777777" w:rsidR="00216D78" w:rsidRDefault="00216D78">
      <w:pPr>
        <w:spacing w:after="0" w:line="240" w:lineRule="auto"/>
      </w:pPr>
      <w:r>
        <w:separator/>
      </w:r>
    </w:p>
  </w:endnote>
  <w:endnote w:type="continuationSeparator" w:id="0">
    <w:p w14:paraId="6053F5C8" w14:textId="77777777" w:rsidR="00216D78" w:rsidRDefault="0021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7D723C" w:rsidRDefault="007D723C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557D9C58" w:rsidR="007D723C" w:rsidRPr="00220783" w:rsidRDefault="007D723C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r w:rsidR="00F0490C">
      <w:rPr>
        <w:rFonts w:eastAsia="Times New Roman" w:cstheme="minorHAnsi"/>
        <w:color w:val="000000"/>
        <w:sz w:val="20"/>
      </w:rPr>
      <w:t>21</w:t>
    </w:r>
    <w:r>
      <w:rPr>
        <w:rFonts w:eastAsia="Times New Roman" w:cstheme="minorHAnsi"/>
        <w:color w:val="000000"/>
        <w:sz w:val="20"/>
      </w:rPr>
      <w:t>. 5.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7D723C" w:rsidRDefault="007D723C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94DF" w14:textId="77777777" w:rsidR="00216D78" w:rsidRDefault="00216D78">
      <w:pPr>
        <w:spacing w:after="0" w:line="240" w:lineRule="auto"/>
      </w:pPr>
      <w:r>
        <w:separator/>
      </w:r>
    </w:p>
  </w:footnote>
  <w:footnote w:type="continuationSeparator" w:id="0">
    <w:p w14:paraId="1F3241B1" w14:textId="77777777" w:rsidR="00216D78" w:rsidRDefault="0021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7D723C" w:rsidRDefault="007D723C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7D723C" w:rsidRDefault="007D723C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7D723C" w:rsidRPr="00BF5449" w:rsidRDefault="007D723C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C497B1D" w:rsidR="007D723C" w:rsidRPr="00353058" w:rsidRDefault="007D723C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3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2024</w:t>
    </w:r>
  </w:p>
  <w:p w14:paraId="0C3D9B71" w14:textId="77777777" w:rsidR="007D723C" w:rsidRDefault="007D723C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7D723C" w:rsidRPr="00BF5449" w:rsidRDefault="007D723C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7D723C" w:rsidRDefault="007D723C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7D723C" w:rsidRDefault="007D723C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14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36C8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2D1A"/>
    <w:rsid w:val="000360F0"/>
    <w:rsid w:val="00036C78"/>
    <w:rsid w:val="00037A2C"/>
    <w:rsid w:val="00041A61"/>
    <w:rsid w:val="00041ABF"/>
    <w:rsid w:val="00050984"/>
    <w:rsid w:val="00050C1A"/>
    <w:rsid w:val="00050E93"/>
    <w:rsid w:val="00052A29"/>
    <w:rsid w:val="0005321E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00DE"/>
    <w:rsid w:val="000814B6"/>
    <w:rsid w:val="00081C04"/>
    <w:rsid w:val="00091F61"/>
    <w:rsid w:val="000935D3"/>
    <w:rsid w:val="00093E18"/>
    <w:rsid w:val="00097963"/>
    <w:rsid w:val="00097CCF"/>
    <w:rsid w:val="000A0B58"/>
    <w:rsid w:val="000A0D19"/>
    <w:rsid w:val="000A18A9"/>
    <w:rsid w:val="000A222C"/>
    <w:rsid w:val="000A254A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2A5E"/>
    <w:rsid w:val="000C3D5B"/>
    <w:rsid w:val="000C40A8"/>
    <w:rsid w:val="000C4638"/>
    <w:rsid w:val="000C4B91"/>
    <w:rsid w:val="000D0649"/>
    <w:rsid w:val="000D064B"/>
    <w:rsid w:val="000D08D4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E7714"/>
    <w:rsid w:val="000F46B7"/>
    <w:rsid w:val="000F5E25"/>
    <w:rsid w:val="000F7958"/>
    <w:rsid w:val="00100761"/>
    <w:rsid w:val="00101A74"/>
    <w:rsid w:val="0010478A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459E7"/>
    <w:rsid w:val="00150FD2"/>
    <w:rsid w:val="00151508"/>
    <w:rsid w:val="00153302"/>
    <w:rsid w:val="00154C3D"/>
    <w:rsid w:val="00160F60"/>
    <w:rsid w:val="00163664"/>
    <w:rsid w:val="001637D3"/>
    <w:rsid w:val="00165D3A"/>
    <w:rsid w:val="00166518"/>
    <w:rsid w:val="00166AC2"/>
    <w:rsid w:val="00166F5D"/>
    <w:rsid w:val="001708FD"/>
    <w:rsid w:val="001826F9"/>
    <w:rsid w:val="001843ED"/>
    <w:rsid w:val="0018650D"/>
    <w:rsid w:val="00187C32"/>
    <w:rsid w:val="00190BC8"/>
    <w:rsid w:val="001926FD"/>
    <w:rsid w:val="001A1B7D"/>
    <w:rsid w:val="001A2063"/>
    <w:rsid w:val="001A27A3"/>
    <w:rsid w:val="001A50EA"/>
    <w:rsid w:val="001A6EF1"/>
    <w:rsid w:val="001B0DF6"/>
    <w:rsid w:val="001B3EFA"/>
    <w:rsid w:val="001B4E2E"/>
    <w:rsid w:val="001B78E2"/>
    <w:rsid w:val="001C3A8F"/>
    <w:rsid w:val="001D0CC0"/>
    <w:rsid w:val="001D138A"/>
    <w:rsid w:val="001D3CFE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16D78"/>
    <w:rsid w:val="002202FA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0F2F"/>
    <w:rsid w:val="0028612F"/>
    <w:rsid w:val="002871D2"/>
    <w:rsid w:val="0029030F"/>
    <w:rsid w:val="0029104E"/>
    <w:rsid w:val="00293F1D"/>
    <w:rsid w:val="002956CF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940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D35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8"/>
    <w:rsid w:val="00343DC9"/>
    <w:rsid w:val="003506F3"/>
    <w:rsid w:val="00352B34"/>
    <w:rsid w:val="00353058"/>
    <w:rsid w:val="003545EE"/>
    <w:rsid w:val="00356175"/>
    <w:rsid w:val="00356C32"/>
    <w:rsid w:val="00356E46"/>
    <w:rsid w:val="003612BF"/>
    <w:rsid w:val="00361EBE"/>
    <w:rsid w:val="00363D70"/>
    <w:rsid w:val="003654C4"/>
    <w:rsid w:val="00366516"/>
    <w:rsid w:val="00367F8A"/>
    <w:rsid w:val="00371A1D"/>
    <w:rsid w:val="00371CB8"/>
    <w:rsid w:val="0037269D"/>
    <w:rsid w:val="00374D5E"/>
    <w:rsid w:val="0037549C"/>
    <w:rsid w:val="00376104"/>
    <w:rsid w:val="00380C63"/>
    <w:rsid w:val="003815AB"/>
    <w:rsid w:val="00382630"/>
    <w:rsid w:val="003842C8"/>
    <w:rsid w:val="0038634B"/>
    <w:rsid w:val="00387525"/>
    <w:rsid w:val="003875A1"/>
    <w:rsid w:val="00390FF9"/>
    <w:rsid w:val="003914E1"/>
    <w:rsid w:val="00391935"/>
    <w:rsid w:val="00397752"/>
    <w:rsid w:val="003A2269"/>
    <w:rsid w:val="003A25EC"/>
    <w:rsid w:val="003A3E34"/>
    <w:rsid w:val="003A580C"/>
    <w:rsid w:val="003B10EC"/>
    <w:rsid w:val="003B1D46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00B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20EE"/>
    <w:rsid w:val="0042339B"/>
    <w:rsid w:val="00425A42"/>
    <w:rsid w:val="00426306"/>
    <w:rsid w:val="00430103"/>
    <w:rsid w:val="00432480"/>
    <w:rsid w:val="004339BF"/>
    <w:rsid w:val="00433E56"/>
    <w:rsid w:val="004378C0"/>
    <w:rsid w:val="00444A8F"/>
    <w:rsid w:val="00447146"/>
    <w:rsid w:val="004472BF"/>
    <w:rsid w:val="004477A9"/>
    <w:rsid w:val="00447E3F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2E77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C55CC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19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07CD"/>
    <w:rsid w:val="005814C9"/>
    <w:rsid w:val="00581F57"/>
    <w:rsid w:val="00582265"/>
    <w:rsid w:val="00582923"/>
    <w:rsid w:val="0058417E"/>
    <w:rsid w:val="00585658"/>
    <w:rsid w:val="00585ECF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644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16440"/>
    <w:rsid w:val="006215C6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0BC1"/>
    <w:rsid w:val="00645681"/>
    <w:rsid w:val="00651502"/>
    <w:rsid w:val="006540A3"/>
    <w:rsid w:val="00661438"/>
    <w:rsid w:val="0066397F"/>
    <w:rsid w:val="00664398"/>
    <w:rsid w:val="00665FBC"/>
    <w:rsid w:val="00667315"/>
    <w:rsid w:val="00670B72"/>
    <w:rsid w:val="00672624"/>
    <w:rsid w:val="00673E66"/>
    <w:rsid w:val="006740C0"/>
    <w:rsid w:val="00674403"/>
    <w:rsid w:val="00683012"/>
    <w:rsid w:val="0068302C"/>
    <w:rsid w:val="006862C3"/>
    <w:rsid w:val="0069675C"/>
    <w:rsid w:val="006970F8"/>
    <w:rsid w:val="006A04C3"/>
    <w:rsid w:val="006A4110"/>
    <w:rsid w:val="006A49BD"/>
    <w:rsid w:val="006A4DF3"/>
    <w:rsid w:val="006B036A"/>
    <w:rsid w:val="006B114D"/>
    <w:rsid w:val="006B3395"/>
    <w:rsid w:val="006B3914"/>
    <w:rsid w:val="006B5CAC"/>
    <w:rsid w:val="006B618E"/>
    <w:rsid w:val="006B6EBD"/>
    <w:rsid w:val="006C11AE"/>
    <w:rsid w:val="006C4919"/>
    <w:rsid w:val="006C516F"/>
    <w:rsid w:val="006C51B8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6F7817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44B"/>
    <w:rsid w:val="00725D41"/>
    <w:rsid w:val="007266D3"/>
    <w:rsid w:val="00727A5E"/>
    <w:rsid w:val="00730274"/>
    <w:rsid w:val="00730CB2"/>
    <w:rsid w:val="00737091"/>
    <w:rsid w:val="007379FC"/>
    <w:rsid w:val="00741B3F"/>
    <w:rsid w:val="007420CB"/>
    <w:rsid w:val="0074269C"/>
    <w:rsid w:val="00742F05"/>
    <w:rsid w:val="00743A02"/>
    <w:rsid w:val="00745E8A"/>
    <w:rsid w:val="00746CE7"/>
    <w:rsid w:val="00746FF9"/>
    <w:rsid w:val="007474A5"/>
    <w:rsid w:val="007501A2"/>
    <w:rsid w:val="00751B44"/>
    <w:rsid w:val="00752C17"/>
    <w:rsid w:val="00752FD7"/>
    <w:rsid w:val="00755955"/>
    <w:rsid w:val="00762B7F"/>
    <w:rsid w:val="00762CAA"/>
    <w:rsid w:val="00763CA5"/>
    <w:rsid w:val="00765F42"/>
    <w:rsid w:val="00770933"/>
    <w:rsid w:val="00770E64"/>
    <w:rsid w:val="007717A7"/>
    <w:rsid w:val="00776654"/>
    <w:rsid w:val="00776E67"/>
    <w:rsid w:val="00777244"/>
    <w:rsid w:val="00782553"/>
    <w:rsid w:val="00782AC4"/>
    <w:rsid w:val="0078417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40DE"/>
    <w:rsid w:val="007C608D"/>
    <w:rsid w:val="007C6C2A"/>
    <w:rsid w:val="007D3E0B"/>
    <w:rsid w:val="007D41BB"/>
    <w:rsid w:val="007D4537"/>
    <w:rsid w:val="007D6248"/>
    <w:rsid w:val="007D6298"/>
    <w:rsid w:val="007D723C"/>
    <w:rsid w:val="007E0C80"/>
    <w:rsid w:val="007E11A3"/>
    <w:rsid w:val="007E1CFC"/>
    <w:rsid w:val="007E2514"/>
    <w:rsid w:val="007E2AAE"/>
    <w:rsid w:val="007F0271"/>
    <w:rsid w:val="007F03CD"/>
    <w:rsid w:val="007F1C18"/>
    <w:rsid w:val="007F42E0"/>
    <w:rsid w:val="007F4821"/>
    <w:rsid w:val="007F60BF"/>
    <w:rsid w:val="007F6282"/>
    <w:rsid w:val="0080083F"/>
    <w:rsid w:val="00805937"/>
    <w:rsid w:val="0080670C"/>
    <w:rsid w:val="00807046"/>
    <w:rsid w:val="00811808"/>
    <w:rsid w:val="008129F8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0401"/>
    <w:rsid w:val="008535FF"/>
    <w:rsid w:val="00854324"/>
    <w:rsid w:val="00855017"/>
    <w:rsid w:val="00855B04"/>
    <w:rsid w:val="008560D7"/>
    <w:rsid w:val="00857B38"/>
    <w:rsid w:val="008624B2"/>
    <w:rsid w:val="008645D0"/>
    <w:rsid w:val="008647A7"/>
    <w:rsid w:val="00865186"/>
    <w:rsid w:val="008654DA"/>
    <w:rsid w:val="00866513"/>
    <w:rsid w:val="00866B34"/>
    <w:rsid w:val="008676E0"/>
    <w:rsid w:val="0087035A"/>
    <w:rsid w:val="00873E8E"/>
    <w:rsid w:val="0087456F"/>
    <w:rsid w:val="00874776"/>
    <w:rsid w:val="00880242"/>
    <w:rsid w:val="008811E0"/>
    <w:rsid w:val="00882E65"/>
    <w:rsid w:val="0088471B"/>
    <w:rsid w:val="00890B4F"/>
    <w:rsid w:val="00893144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C6379"/>
    <w:rsid w:val="008D2E7F"/>
    <w:rsid w:val="008D4773"/>
    <w:rsid w:val="008D528E"/>
    <w:rsid w:val="008D78EC"/>
    <w:rsid w:val="008E72A3"/>
    <w:rsid w:val="00900644"/>
    <w:rsid w:val="0090145B"/>
    <w:rsid w:val="00901601"/>
    <w:rsid w:val="00901EA2"/>
    <w:rsid w:val="009061B8"/>
    <w:rsid w:val="00910353"/>
    <w:rsid w:val="00910B33"/>
    <w:rsid w:val="0091152F"/>
    <w:rsid w:val="00914020"/>
    <w:rsid w:val="00914D90"/>
    <w:rsid w:val="00915645"/>
    <w:rsid w:val="00915F76"/>
    <w:rsid w:val="00917595"/>
    <w:rsid w:val="009203E0"/>
    <w:rsid w:val="00920543"/>
    <w:rsid w:val="00922FFE"/>
    <w:rsid w:val="0092397D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3A31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2ACE"/>
    <w:rsid w:val="00983DA2"/>
    <w:rsid w:val="0098440D"/>
    <w:rsid w:val="009848A1"/>
    <w:rsid w:val="00984CAE"/>
    <w:rsid w:val="00985FBC"/>
    <w:rsid w:val="009879C4"/>
    <w:rsid w:val="009918F8"/>
    <w:rsid w:val="00991C4D"/>
    <w:rsid w:val="00991F93"/>
    <w:rsid w:val="00997A11"/>
    <w:rsid w:val="009A0940"/>
    <w:rsid w:val="009A14CE"/>
    <w:rsid w:val="009A1A4F"/>
    <w:rsid w:val="009A1DA2"/>
    <w:rsid w:val="009A4563"/>
    <w:rsid w:val="009A4650"/>
    <w:rsid w:val="009A5F5E"/>
    <w:rsid w:val="009A7F97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D4B4E"/>
    <w:rsid w:val="009D74F7"/>
    <w:rsid w:val="009E0E6B"/>
    <w:rsid w:val="009E155D"/>
    <w:rsid w:val="009E2699"/>
    <w:rsid w:val="009E319A"/>
    <w:rsid w:val="009E3830"/>
    <w:rsid w:val="009E4614"/>
    <w:rsid w:val="009E4DB3"/>
    <w:rsid w:val="009E5B3B"/>
    <w:rsid w:val="009F045E"/>
    <w:rsid w:val="009F384B"/>
    <w:rsid w:val="009F4AA6"/>
    <w:rsid w:val="009F7326"/>
    <w:rsid w:val="00A00A3C"/>
    <w:rsid w:val="00A0188E"/>
    <w:rsid w:val="00A0261B"/>
    <w:rsid w:val="00A100DC"/>
    <w:rsid w:val="00A15AE7"/>
    <w:rsid w:val="00A16C7A"/>
    <w:rsid w:val="00A17077"/>
    <w:rsid w:val="00A1770B"/>
    <w:rsid w:val="00A21C38"/>
    <w:rsid w:val="00A21E5F"/>
    <w:rsid w:val="00A23E6C"/>
    <w:rsid w:val="00A263F7"/>
    <w:rsid w:val="00A31651"/>
    <w:rsid w:val="00A316ED"/>
    <w:rsid w:val="00A319F6"/>
    <w:rsid w:val="00A33FD7"/>
    <w:rsid w:val="00A43411"/>
    <w:rsid w:val="00A43952"/>
    <w:rsid w:val="00A44BEC"/>
    <w:rsid w:val="00A45129"/>
    <w:rsid w:val="00A45B8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3C53"/>
    <w:rsid w:val="00A76F34"/>
    <w:rsid w:val="00A77829"/>
    <w:rsid w:val="00A83C44"/>
    <w:rsid w:val="00A83C77"/>
    <w:rsid w:val="00A842F3"/>
    <w:rsid w:val="00A86413"/>
    <w:rsid w:val="00A93883"/>
    <w:rsid w:val="00A94162"/>
    <w:rsid w:val="00AA7298"/>
    <w:rsid w:val="00AB13B7"/>
    <w:rsid w:val="00AB53FF"/>
    <w:rsid w:val="00AB56FA"/>
    <w:rsid w:val="00AB58CE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0619"/>
    <w:rsid w:val="00AF2728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02AF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48DE"/>
    <w:rsid w:val="00BA5617"/>
    <w:rsid w:val="00BA6EC8"/>
    <w:rsid w:val="00BA7F69"/>
    <w:rsid w:val="00BB2EEC"/>
    <w:rsid w:val="00BB356C"/>
    <w:rsid w:val="00BB3645"/>
    <w:rsid w:val="00BB4BD8"/>
    <w:rsid w:val="00BB6D13"/>
    <w:rsid w:val="00BC141A"/>
    <w:rsid w:val="00BC479E"/>
    <w:rsid w:val="00BC5285"/>
    <w:rsid w:val="00BC625A"/>
    <w:rsid w:val="00BC6790"/>
    <w:rsid w:val="00BD2995"/>
    <w:rsid w:val="00BD3D2E"/>
    <w:rsid w:val="00BD489C"/>
    <w:rsid w:val="00BD607A"/>
    <w:rsid w:val="00BD73DF"/>
    <w:rsid w:val="00BD74FF"/>
    <w:rsid w:val="00BE2166"/>
    <w:rsid w:val="00BE5A36"/>
    <w:rsid w:val="00BE650D"/>
    <w:rsid w:val="00BE6DA6"/>
    <w:rsid w:val="00BF07F9"/>
    <w:rsid w:val="00BF3919"/>
    <w:rsid w:val="00BF4223"/>
    <w:rsid w:val="00BF5449"/>
    <w:rsid w:val="00BF5584"/>
    <w:rsid w:val="00C0018F"/>
    <w:rsid w:val="00C03856"/>
    <w:rsid w:val="00C04B07"/>
    <w:rsid w:val="00C06A8F"/>
    <w:rsid w:val="00C07B0B"/>
    <w:rsid w:val="00C102C8"/>
    <w:rsid w:val="00C14CED"/>
    <w:rsid w:val="00C1581A"/>
    <w:rsid w:val="00C2018B"/>
    <w:rsid w:val="00C2222E"/>
    <w:rsid w:val="00C23675"/>
    <w:rsid w:val="00C23683"/>
    <w:rsid w:val="00C2436A"/>
    <w:rsid w:val="00C25B65"/>
    <w:rsid w:val="00C26217"/>
    <w:rsid w:val="00C31F70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66F4C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102E"/>
    <w:rsid w:val="00CD12B6"/>
    <w:rsid w:val="00CD4B64"/>
    <w:rsid w:val="00CD5B3A"/>
    <w:rsid w:val="00CE00F6"/>
    <w:rsid w:val="00CF4585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37893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67421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3809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3464"/>
    <w:rsid w:val="00DC6A0F"/>
    <w:rsid w:val="00DC6AE0"/>
    <w:rsid w:val="00DD2DDC"/>
    <w:rsid w:val="00DD4AEB"/>
    <w:rsid w:val="00DE0B49"/>
    <w:rsid w:val="00DE2568"/>
    <w:rsid w:val="00DE770C"/>
    <w:rsid w:val="00DE7F3D"/>
    <w:rsid w:val="00DF2CAE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0E5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0EFF"/>
    <w:rsid w:val="00EA4931"/>
    <w:rsid w:val="00EA4FE4"/>
    <w:rsid w:val="00EA74D6"/>
    <w:rsid w:val="00EA7898"/>
    <w:rsid w:val="00EB0BF8"/>
    <w:rsid w:val="00EB2F71"/>
    <w:rsid w:val="00EB4B9A"/>
    <w:rsid w:val="00EC335A"/>
    <w:rsid w:val="00EC72B0"/>
    <w:rsid w:val="00EE1FEF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B4F"/>
    <w:rsid w:val="00F0490C"/>
    <w:rsid w:val="00F073B6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46FC"/>
    <w:rsid w:val="00F75195"/>
    <w:rsid w:val="00F77F8D"/>
    <w:rsid w:val="00F81B45"/>
    <w:rsid w:val="00F833F4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2996"/>
    <w:rsid w:val="00FC4104"/>
    <w:rsid w:val="00FC4F00"/>
    <w:rsid w:val="00FC6718"/>
    <w:rsid w:val="00FC6727"/>
    <w:rsid w:val="00FD05D6"/>
    <w:rsid w:val="00FD1D69"/>
    <w:rsid w:val="00FD47B9"/>
    <w:rsid w:val="00FD6751"/>
    <w:rsid w:val="00FD6998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2024 -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94-47D6-93E4-94F82A097C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94-47D6-93E4-94F82A097C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94-47D6-93E4-94F82A097C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94-47D6-93E4-94F82A097C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C94-47D6-93E4-94F82A097C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C94-47D6-93E4-94F82A097C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C94-47D6-93E4-94F82A097C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C94-47D6-93E4-94F82A097C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0.42021583528747347</c:v>
                </c:pt>
                <c:pt idx="1">
                  <c:v>0.17759143534149366</c:v>
                </c:pt>
                <c:pt idx="2">
                  <c:v>4.1374568759131253E-3</c:v>
                </c:pt>
                <c:pt idx="3">
                  <c:v>0.22589041264072879</c:v>
                </c:pt>
                <c:pt idx="4">
                  <c:v>1.8538753360916379E-3</c:v>
                </c:pt>
                <c:pt idx="5">
                  <c:v>0.13534517685479613</c:v>
                </c:pt>
                <c:pt idx="6">
                  <c:v>4.4075579182576031E-3</c:v>
                </c:pt>
                <c:pt idx="7">
                  <c:v>3.0558249745245607E-2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C94-47D6-93E4-94F82A097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2024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79-44D7-BFA3-A02B196208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79-44D7-BFA3-A02B196208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79-44D7-BFA3-A02B196208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79-44D7-BFA3-A02B196208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579-44D7-BFA3-A02B196208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579-44D7-BFA3-A02B196208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2.9636227941353493E-2</c:v>
                </c:pt>
                <c:pt idx="1">
                  <c:v>0.10165234208857965</c:v>
                </c:pt>
                <c:pt idx="2">
                  <c:v>0.46838561603710743</c:v>
                </c:pt>
                <c:pt idx="3">
                  <c:v>6.6647406729742953E-2</c:v>
                </c:pt>
                <c:pt idx="4">
                  <c:v>0.15992970123022845</c:v>
                </c:pt>
                <c:pt idx="5">
                  <c:v>0.17374870597298794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79-44D7-BFA3-A02B19620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C2DA-F7DC-4F9D-BBB5-52FAF8D0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4320</Words>
  <Characters>25491</Characters>
  <Application>Microsoft Office Word</Application>
  <DocSecurity>0</DocSecurity>
  <Lines>212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11</cp:revision>
  <cp:lastPrinted>2020-03-16T11:29:00Z</cp:lastPrinted>
  <dcterms:created xsi:type="dcterms:W3CDTF">2025-05-14T19:37:00Z</dcterms:created>
  <dcterms:modified xsi:type="dcterms:W3CDTF">2025-05-14T20:54:00Z</dcterms:modified>
</cp:coreProperties>
</file>